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B6" w:rsidRDefault="003E28B6" w:rsidP="003E28B6"/>
    <w:p w:rsidR="003E28B6" w:rsidRDefault="006F78E8" w:rsidP="009F77C9">
      <w:pPr>
        <w:pStyle w:val="Heading1to2"/>
        <w:spacing w:after="0"/>
      </w:pPr>
      <w:r>
        <w:t>Older Users</w:t>
      </w:r>
      <w:r w:rsidR="003E28B6" w:rsidRPr="00DA42FE">
        <w:t xml:space="preserve"> </w:t>
      </w:r>
      <w:r w:rsidR="003E28B6">
        <w:t>Emphasis Area Team Report</w:t>
      </w:r>
    </w:p>
    <w:p w:rsidR="003E28B6" w:rsidRPr="003E28B6" w:rsidRDefault="00397EF1" w:rsidP="003E28B6">
      <w:pPr>
        <w:pStyle w:val="Heading1"/>
      </w:pPr>
      <w:r>
        <w:t>Tuesday January 3</w:t>
      </w:r>
      <w:r w:rsidR="006F78E8">
        <w:t>0</w:t>
      </w:r>
      <w:r w:rsidR="00D64E50">
        <w:t>, 201</w:t>
      </w:r>
      <w:r>
        <w:t>8</w:t>
      </w:r>
      <w:r w:rsidR="00D64E50">
        <w:t>,</w:t>
      </w:r>
      <w:r w:rsidR="00DA42FE">
        <w:t xml:space="preserve"> </w:t>
      </w:r>
      <w:r w:rsidR="00CD4933">
        <w:t>9</w:t>
      </w:r>
      <w:r w:rsidR="00DA42FE">
        <w:t>:</w:t>
      </w:r>
      <w:r w:rsidR="00CD4933">
        <w:t>3</w:t>
      </w:r>
      <w:r w:rsidR="00DA42FE">
        <w:t>0</w:t>
      </w:r>
      <w:r w:rsidR="0038545D">
        <w:t xml:space="preserve"> </w:t>
      </w:r>
      <w:r w:rsidR="00CD4933">
        <w:t>a</w:t>
      </w:r>
      <w:r w:rsidR="00DA42FE">
        <w:t>.m.</w:t>
      </w:r>
    </w:p>
    <w:p w:rsidR="0088170B" w:rsidRDefault="0088170B" w:rsidP="009F77C9">
      <w:pPr>
        <w:pStyle w:val="Heading2"/>
        <w:spacing w:after="120"/>
      </w:pPr>
      <w:r>
        <w:t>Participants</w:t>
      </w:r>
    </w:p>
    <w:tbl>
      <w:tblPr>
        <w:tblStyle w:val="TableGrid"/>
        <w:tblW w:w="0" w:type="auto"/>
        <w:tblLook w:val="04A0" w:firstRow="1" w:lastRow="0" w:firstColumn="1" w:lastColumn="0" w:noHBand="0" w:noVBand="1"/>
      </w:tblPr>
      <w:tblGrid>
        <w:gridCol w:w="4675"/>
        <w:gridCol w:w="4675"/>
      </w:tblGrid>
      <w:tr w:rsidR="0088170B" w:rsidRPr="00534D77" w:rsidTr="0088170B">
        <w:tc>
          <w:tcPr>
            <w:tcW w:w="4675" w:type="dxa"/>
          </w:tcPr>
          <w:p w:rsidR="0088170B" w:rsidRPr="009F77C9" w:rsidRDefault="00534D77" w:rsidP="0088170B">
            <w:pPr>
              <w:pStyle w:val="BodyText"/>
              <w:spacing w:before="40" w:after="40"/>
              <w:rPr>
                <w:b/>
                <w:sz w:val="28"/>
                <w:szCs w:val="28"/>
              </w:rPr>
            </w:pPr>
            <w:r w:rsidRPr="009F77C9">
              <w:rPr>
                <w:b/>
                <w:sz w:val="28"/>
                <w:szCs w:val="28"/>
              </w:rPr>
              <w:t>Name</w:t>
            </w:r>
          </w:p>
        </w:tc>
        <w:tc>
          <w:tcPr>
            <w:tcW w:w="4675" w:type="dxa"/>
          </w:tcPr>
          <w:p w:rsidR="0088170B" w:rsidRPr="009F77C9" w:rsidRDefault="00534D77" w:rsidP="0088170B">
            <w:pPr>
              <w:pStyle w:val="BodyText"/>
              <w:spacing w:before="40" w:after="40"/>
              <w:rPr>
                <w:b/>
                <w:sz w:val="28"/>
                <w:szCs w:val="28"/>
              </w:rPr>
            </w:pPr>
            <w:r w:rsidRPr="009F77C9">
              <w:rPr>
                <w:b/>
                <w:sz w:val="28"/>
                <w:szCs w:val="28"/>
              </w:rPr>
              <w:t>Agency/Organization</w:t>
            </w:r>
          </w:p>
        </w:tc>
      </w:tr>
      <w:tr w:rsidR="00504986" w:rsidTr="0088170B">
        <w:tc>
          <w:tcPr>
            <w:tcW w:w="4675" w:type="dxa"/>
          </w:tcPr>
          <w:p w:rsidR="00504986" w:rsidRDefault="006F78E8" w:rsidP="00B54AB8">
            <w:pPr>
              <w:pStyle w:val="BodyText"/>
              <w:spacing w:before="40" w:after="40"/>
              <w:jc w:val="left"/>
            </w:pPr>
            <w:r>
              <w:t>Kara Thorp</w:t>
            </w:r>
            <w:r w:rsidR="00504986">
              <w:t>, Team Leader</w:t>
            </w:r>
          </w:p>
        </w:tc>
        <w:tc>
          <w:tcPr>
            <w:tcW w:w="4675" w:type="dxa"/>
          </w:tcPr>
          <w:p w:rsidR="00504986" w:rsidRDefault="006F78E8" w:rsidP="00B54AB8">
            <w:pPr>
              <w:pStyle w:val="BodyText"/>
              <w:spacing w:before="40" w:after="40"/>
            </w:pPr>
            <w:r>
              <w:t>AAA</w:t>
            </w:r>
          </w:p>
        </w:tc>
      </w:tr>
      <w:tr w:rsidR="00DF5B02" w:rsidTr="0088170B">
        <w:tc>
          <w:tcPr>
            <w:tcW w:w="4675" w:type="dxa"/>
          </w:tcPr>
          <w:p w:rsidR="00DF5B02" w:rsidRDefault="006F78E8" w:rsidP="00B54AB8">
            <w:pPr>
              <w:pStyle w:val="BodyText"/>
              <w:spacing w:before="40" w:after="40"/>
            </w:pPr>
            <w:r>
              <w:t>Marcus Brewer</w:t>
            </w:r>
          </w:p>
        </w:tc>
        <w:tc>
          <w:tcPr>
            <w:tcW w:w="4675" w:type="dxa"/>
          </w:tcPr>
          <w:p w:rsidR="00DF5B02" w:rsidRDefault="006F78E8" w:rsidP="00B54AB8">
            <w:pPr>
              <w:pStyle w:val="BodyText"/>
              <w:spacing w:before="40" w:after="40"/>
            </w:pPr>
            <w:r>
              <w:t>TTI</w:t>
            </w:r>
          </w:p>
        </w:tc>
      </w:tr>
      <w:tr w:rsidR="00DF5B02" w:rsidTr="0088170B">
        <w:tc>
          <w:tcPr>
            <w:tcW w:w="4675" w:type="dxa"/>
          </w:tcPr>
          <w:p w:rsidR="00DF5B02" w:rsidRDefault="006F78E8" w:rsidP="00B54AB8">
            <w:pPr>
              <w:pStyle w:val="BodyText"/>
              <w:spacing w:before="40" w:after="40"/>
            </w:pPr>
            <w:r>
              <w:t>Julia Davies</w:t>
            </w:r>
          </w:p>
        </w:tc>
        <w:tc>
          <w:tcPr>
            <w:tcW w:w="4675" w:type="dxa"/>
          </w:tcPr>
          <w:p w:rsidR="00DF5B02" w:rsidRDefault="006F78E8" w:rsidP="00B54AB8">
            <w:pPr>
              <w:pStyle w:val="BodyText"/>
              <w:spacing w:before="40" w:after="40"/>
            </w:pPr>
            <w:r>
              <w:t>Baylor Scott &amp; White Mature Driver Program</w:t>
            </w:r>
          </w:p>
        </w:tc>
      </w:tr>
      <w:tr w:rsidR="00397EF1" w:rsidTr="0088170B">
        <w:tc>
          <w:tcPr>
            <w:tcW w:w="4675" w:type="dxa"/>
          </w:tcPr>
          <w:p w:rsidR="00397EF1" w:rsidRDefault="00397EF1" w:rsidP="00B54AB8">
            <w:pPr>
              <w:pStyle w:val="BodyText"/>
              <w:spacing w:before="40" w:after="40"/>
            </w:pPr>
            <w:r>
              <w:t>Srinivas Geedipally</w:t>
            </w:r>
          </w:p>
        </w:tc>
        <w:tc>
          <w:tcPr>
            <w:tcW w:w="4675" w:type="dxa"/>
          </w:tcPr>
          <w:p w:rsidR="00397EF1" w:rsidRDefault="00397EF1" w:rsidP="00B54AB8">
            <w:pPr>
              <w:pStyle w:val="BodyText"/>
              <w:spacing w:before="40" w:after="40"/>
            </w:pPr>
            <w:r>
              <w:t>TTI</w:t>
            </w:r>
          </w:p>
        </w:tc>
      </w:tr>
      <w:tr w:rsidR="00DF5B02" w:rsidTr="0088170B">
        <w:tc>
          <w:tcPr>
            <w:tcW w:w="4675" w:type="dxa"/>
          </w:tcPr>
          <w:p w:rsidR="00DF5B02" w:rsidRDefault="006F78E8" w:rsidP="00B54AB8">
            <w:pPr>
              <w:pStyle w:val="BodyText"/>
              <w:spacing w:before="40" w:after="40"/>
            </w:pPr>
            <w:r>
              <w:t>Amelia Hayes</w:t>
            </w:r>
          </w:p>
        </w:tc>
        <w:tc>
          <w:tcPr>
            <w:tcW w:w="4675" w:type="dxa"/>
          </w:tcPr>
          <w:p w:rsidR="00DF5B02" w:rsidRDefault="006F78E8" w:rsidP="00B54AB8">
            <w:pPr>
              <w:pStyle w:val="BodyText"/>
              <w:spacing w:before="40" w:after="40"/>
            </w:pPr>
            <w:proofErr w:type="spellStart"/>
            <w:r>
              <w:t>TxDOT</w:t>
            </w:r>
            <w:proofErr w:type="spellEnd"/>
          </w:p>
        </w:tc>
      </w:tr>
      <w:tr w:rsidR="00BE4231" w:rsidTr="0088170B">
        <w:tc>
          <w:tcPr>
            <w:tcW w:w="4675" w:type="dxa"/>
          </w:tcPr>
          <w:p w:rsidR="00BE4231" w:rsidRDefault="00BE4231" w:rsidP="00BE4231">
            <w:pPr>
              <w:pStyle w:val="BodyText"/>
              <w:spacing w:before="40" w:after="40"/>
            </w:pPr>
            <w:r>
              <w:t xml:space="preserve">Susan </w:t>
            </w:r>
            <w:proofErr w:type="spellStart"/>
            <w:r>
              <w:t>Herbel</w:t>
            </w:r>
            <w:proofErr w:type="spellEnd"/>
          </w:p>
        </w:tc>
        <w:tc>
          <w:tcPr>
            <w:tcW w:w="4675" w:type="dxa"/>
          </w:tcPr>
          <w:p w:rsidR="00BE4231" w:rsidRDefault="00A00D2B" w:rsidP="00BE4231">
            <w:pPr>
              <w:pStyle w:val="BodyText"/>
              <w:spacing w:before="40" w:after="40"/>
            </w:pPr>
            <w:r>
              <w:t>SBH</w:t>
            </w:r>
            <w:r w:rsidR="00BE4231">
              <w:t xml:space="preserve"> Consulting</w:t>
            </w:r>
          </w:p>
        </w:tc>
      </w:tr>
      <w:tr w:rsidR="00397EF1" w:rsidTr="0088170B">
        <w:tc>
          <w:tcPr>
            <w:tcW w:w="4675" w:type="dxa"/>
          </w:tcPr>
          <w:p w:rsidR="00397EF1" w:rsidRDefault="00397EF1" w:rsidP="00220017">
            <w:pPr>
              <w:pStyle w:val="BodyText"/>
              <w:spacing w:before="40" w:after="40"/>
            </w:pPr>
            <w:r>
              <w:t xml:space="preserve">Bridgett </w:t>
            </w:r>
            <w:proofErr w:type="spellStart"/>
            <w:r>
              <w:t>Hlavinka</w:t>
            </w:r>
            <w:proofErr w:type="spellEnd"/>
          </w:p>
        </w:tc>
        <w:tc>
          <w:tcPr>
            <w:tcW w:w="4675" w:type="dxa"/>
          </w:tcPr>
          <w:p w:rsidR="00397EF1" w:rsidRDefault="00397EF1" w:rsidP="00220017">
            <w:pPr>
              <w:pStyle w:val="BodyText"/>
              <w:spacing w:before="40" w:after="40"/>
            </w:pPr>
            <w:proofErr w:type="spellStart"/>
            <w:r>
              <w:t>TxDOT</w:t>
            </w:r>
            <w:proofErr w:type="spellEnd"/>
          </w:p>
        </w:tc>
      </w:tr>
      <w:tr w:rsidR="00BE4231" w:rsidTr="0088170B">
        <w:tc>
          <w:tcPr>
            <w:tcW w:w="4675" w:type="dxa"/>
          </w:tcPr>
          <w:p w:rsidR="00BE4231" w:rsidRDefault="009507AD" w:rsidP="00220017">
            <w:pPr>
              <w:pStyle w:val="BodyText"/>
              <w:spacing w:before="40" w:after="40"/>
            </w:pPr>
            <w:r>
              <w:t xml:space="preserve">Janet </w:t>
            </w:r>
            <w:proofErr w:type="spellStart"/>
            <w:r>
              <w:t>Hoelscher</w:t>
            </w:r>
            <w:proofErr w:type="spellEnd"/>
          </w:p>
        </w:tc>
        <w:tc>
          <w:tcPr>
            <w:tcW w:w="4675" w:type="dxa"/>
          </w:tcPr>
          <w:p w:rsidR="00BE4231" w:rsidRDefault="009507AD" w:rsidP="00220017">
            <w:pPr>
              <w:pStyle w:val="BodyText"/>
              <w:spacing w:before="40" w:after="40"/>
            </w:pPr>
            <w:r>
              <w:t>Baylor Scott &amp; White Mature Driver Program</w:t>
            </w:r>
          </w:p>
        </w:tc>
      </w:tr>
      <w:tr w:rsidR="00DF5B02" w:rsidTr="0088170B">
        <w:tc>
          <w:tcPr>
            <w:tcW w:w="4675" w:type="dxa"/>
          </w:tcPr>
          <w:p w:rsidR="00DF5B02" w:rsidRDefault="00BE4231" w:rsidP="00220017">
            <w:pPr>
              <w:pStyle w:val="BodyText"/>
              <w:spacing w:before="40" w:after="40"/>
            </w:pPr>
            <w:r>
              <w:t xml:space="preserve">Major </w:t>
            </w:r>
            <w:proofErr w:type="spellStart"/>
            <w:r>
              <w:t>Hofheins</w:t>
            </w:r>
            <w:proofErr w:type="spellEnd"/>
          </w:p>
        </w:tc>
        <w:tc>
          <w:tcPr>
            <w:tcW w:w="4675" w:type="dxa"/>
          </w:tcPr>
          <w:p w:rsidR="00DF5B02" w:rsidRDefault="00BE4231" w:rsidP="00220017">
            <w:pPr>
              <w:pStyle w:val="BodyText"/>
              <w:spacing w:before="40" w:after="40"/>
            </w:pPr>
            <w:r>
              <w:t>San Angelo MPO</w:t>
            </w:r>
          </w:p>
        </w:tc>
      </w:tr>
      <w:tr w:rsidR="00DF5B02" w:rsidTr="0088170B">
        <w:tc>
          <w:tcPr>
            <w:tcW w:w="4675" w:type="dxa"/>
          </w:tcPr>
          <w:p w:rsidR="00DF5B02" w:rsidRDefault="009507AD" w:rsidP="00220017">
            <w:pPr>
              <w:pStyle w:val="BodyText"/>
              <w:spacing w:before="40" w:after="40"/>
            </w:pPr>
            <w:r>
              <w:t>Sonya Landrum</w:t>
            </w:r>
          </w:p>
        </w:tc>
        <w:tc>
          <w:tcPr>
            <w:tcW w:w="4675" w:type="dxa"/>
          </w:tcPr>
          <w:p w:rsidR="00DF5B02" w:rsidRDefault="009507AD" w:rsidP="00220017">
            <w:pPr>
              <w:pStyle w:val="BodyText"/>
              <w:spacing w:before="40" w:after="40"/>
            </w:pPr>
            <w:r w:rsidRPr="009507AD">
              <w:t>North Central TX Council of Governments</w:t>
            </w:r>
          </w:p>
        </w:tc>
      </w:tr>
      <w:tr w:rsidR="00A404EC" w:rsidTr="0088170B">
        <w:tc>
          <w:tcPr>
            <w:tcW w:w="4675" w:type="dxa"/>
          </w:tcPr>
          <w:p w:rsidR="00A404EC" w:rsidRDefault="00A404EC" w:rsidP="00220017">
            <w:pPr>
              <w:pStyle w:val="BodyText"/>
              <w:spacing w:before="40" w:after="40"/>
            </w:pPr>
            <w:r>
              <w:t>Darren McDaniel</w:t>
            </w:r>
          </w:p>
        </w:tc>
        <w:tc>
          <w:tcPr>
            <w:tcW w:w="4675" w:type="dxa"/>
          </w:tcPr>
          <w:p w:rsidR="00A404EC" w:rsidRDefault="00A404EC" w:rsidP="00220017">
            <w:pPr>
              <w:pStyle w:val="BodyText"/>
              <w:spacing w:before="40" w:after="40"/>
            </w:pPr>
            <w:proofErr w:type="spellStart"/>
            <w:r>
              <w:t>TxDOT</w:t>
            </w:r>
            <w:proofErr w:type="spellEnd"/>
          </w:p>
        </w:tc>
      </w:tr>
      <w:tr w:rsidR="00397EF1" w:rsidTr="0088170B">
        <w:tc>
          <w:tcPr>
            <w:tcW w:w="4675" w:type="dxa"/>
          </w:tcPr>
          <w:p w:rsidR="00397EF1" w:rsidRDefault="00397EF1" w:rsidP="00B54AB8">
            <w:pPr>
              <w:pStyle w:val="BodyText"/>
              <w:spacing w:before="40" w:after="40"/>
            </w:pPr>
            <w:r>
              <w:t>Terry Pence</w:t>
            </w:r>
          </w:p>
        </w:tc>
        <w:tc>
          <w:tcPr>
            <w:tcW w:w="4675" w:type="dxa"/>
          </w:tcPr>
          <w:p w:rsidR="00397EF1" w:rsidRDefault="00397EF1" w:rsidP="00B54AB8">
            <w:pPr>
              <w:pStyle w:val="BodyText"/>
              <w:spacing w:before="40" w:after="40"/>
            </w:pPr>
            <w:proofErr w:type="spellStart"/>
            <w:r>
              <w:t>TxDOT</w:t>
            </w:r>
            <w:proofErr w:type="spellEnd"/>
          </w:p>
        </w:tc>
      </w:tr>
      <w:tr w:rsidR="00A404EC" w:rsidTr="0088170B">
        <w:tc>
          <w:tcPr>
            <w:tcW w:w="4675" w:type="dxa"/>
          </w:tcPr>
          <w:p w:rsidR="00A404EC" w:rsidRDefault="00A404EC" w:rsidP="00B54AB8">
            <w:pPr>
              <w:pStyle w:val="BodyText"/>
              <w:spacing w:before="40" w:after="40"/>
            </w:pPr>
            <w:r>
              <w:t>Eva Shipp</w:t>
            </w:r>
          </w:p>
        </w:tc>
        <w:tc>
          <w:tcPr>
            <w:tcW w:w="4675" w:type="dxa"/>
          </w:tcPr>
          <w:p w:rsidR="00A404EC" w:rsidRDefault="00A404EC" w:rsidP="00B54AB8">
            <w:pPr>
              <w:pStyle w:val="BodyText"/>
              <w:spacing w:before="40" w:after="40"/>
            </w:pPr>
            <w:r>
              <w:t>TTI</w:t>
            </w:r>
          </w:p>
        </w:tc>
      </w:tr>
      <w:tr w:rsidR="00A404EC" w:rsidTr="0088170B">
        <w:tc>
          <w:tcPr>
            <w:tcW w:w="4675" w:type="dxa"/>
          </w:tcPr>
          <w:p w:rsidR="00A404EC" w:rsidRDefault="00A404EC" w:rsidP="00B54AB8">
            <w:pPr>
              <w:pStyle w:val="BodyText"/>
              <w:spacing w:before="40" w:after="40"/>
            </w:pPr>
            <w:r>
              <w:t>Stacey Schrank</w:t>
            </w:r>
          </w:p>
        </w:tc>
        <w:tc>
          <w:tcPr>
            <w:tcW w:w="4675" w:type="dxa"/>
          </w:tcPr>
          <w:p w:rsidR="00A404EC" w:rsidRDefault="00A404EC" w:rsidP="00B54AB8">
            <w:pPr>
              <w:pStyle w:val="BodyText"/>
              <w:spacing w:before="40" w:after="40"/>
            </w:pPr>
            <w:r>
              <w:t>TTI</w:t>
            </w:r>
          </w:p>
        </w:tc>
      </w:tr>
      <w:tr w:rsidR="00A404EC" w:rsidTr="0088170B">
        <w:tc>
          <w:tcPr>
            <w:tcW w:w="4675" w:type="dxa"/>
          </w:tcPr>
          <w:p w:rsidR="00A404EC" w:rsidRDefault="00A404EC" w:rsidP="00A404EC">
            <w:pPr>
              <w:pStyle w:val="BodyText"/>
              <w:spacing w:before="40" w:after="40"/>
            </w:pPr>
            <w:r>
              <w:t>Robert Wunderlich</w:t>
            </w:r>
          </w:p>
        </w:tc>
        <w:tc>
          <w:tcPr>
            <w:tcW w:w="4675" w:type="dxa"/>
          </w:tcPr>
          <w:p w:rsidR="00A404EC" w:rsidRPr="00E51467" w:rsidRDefault="00A404EC" w:rsidP="00A404EC">
            <w:pPr>
              <w:pStyle w:val="BodyText"/>
              <w:spacing w:before="40" w:after="40"/>
            </w:pPr>
            <w:r>
              <w:t>TTI</w:t>
            </w:r>
          </w:p>
        </w:tc>
      </w:tr>
    </w:tbl>
    <w:p w:rsidR="0088170B" w:rsidRPr="0088170B" w:rsidRDefault="0088170B" w:rsidP="0088170B">
      <w:pPr>
        <w:pStyle w:val="BodyText"/>
      </w:pPr>
    </w:p>
    <w:p w:rsidR="00CD4933" w:rsidRDefault="004B615E" w:rsidP="00CD4933">
      <w:pPr>
        <w:pStyle w:val="Heading2"/>
        <w:spacing w:before="0" w:after="120"/>
      </w:pPr>
      <w:r>
        <w:t>Action Plan Development</w:t>
      </w:r>
    </w:p>
    <w:p w:rsidR="00CD4933" w:rsidRDefault="004B615E" w:rsidP="00CD4933">
      <w:pPr>
        <w:pStyle w:val="BodyText"/>
      </w:pPr>
      <w:r w:rsidRPr="004B615E">
        <w:t>During the Traffic Safety Conference participants had the opportunity to prioritize the countermeasures in each of the seven emphasis areas. The top 3-5 countermeasures in each emphasis area were presented during the facilitated discussion sessions</w:t>
      </w:r>
      <w:r>
        <w:t xml:space="preserve"> and preliminary action plans for some of the prioritized countermeasures were developed</w:t>
      </w:r>
      <w:r w:rsidRPr="004B615E">
        <w:t>.</w:t>
      </w:r>
      <w:r>
        <w:rPr>
          <w:rFonts w:ascii="Franklin Gothic Book" w:hAnsi="Franklin Gothic Book"/>
        </w:rPr>
        <w:t xml:space="preserve"> </w:t>
      </w:r>
      <w:r w:rsidRPr="004B615E">
        <w:t xml:space="preserve">Most of these </w:t>
      </w:r>
      <w:r w:rsidR="00F516CA">
        <w:t>a</w:t>
      </w:r>
      <w:r w:rsidRPr="004B615E">
        <w:t xml:space="preserve">ction </w:t>
      </w:r>
      <w:r w:rsidR="00F516CA">
        <w:t>p</w:t>
      </w:r>
      <w:r w:rsidRPr="004B615E">
        <w:t xml:space="preserve">lans are incomplete and require more consideration by EA team members. </w:t>
      </w:r>
    </w:p>
    <w:p w:rsidR="00FA7F79" w:rsidRDefault="00FA7F79" w:rsidP="00F516CA">
      <w:pPr>
        <w:pStyle w:val="BodyText"/>
        <w:spacing w:after="120"/>
      </w:pPr>
      <w:r>
        <w:t xml:space="preserve">Through a collaborative process EA team members reviewed, revised and/or confirmed the countermeasure rankings </w:t>
      </w:r>
      <w:r w:rsidR="00F51C1B">
        <w:t>and identifi</w:t>
      </w:r>
      <w:r w:rsidR="00F516CA">
        <w:t>ed all needed action plans based on the following guidelines:</w:t>
      </w:r>
    </w:p>
    <w:p w:rsidR="00F516CA" w:rsidRDefault="00F516CA" w:rsidP="00F516CA">
      <w:pPr>
        <w:numPr>
          <w:ilvl w:val="0"/>
          <w:numId w:val="38"/>
        </w:numPr>
        <w:tabs>
          <w:tab w:val="left" w:pos="450"/>
        </w:tabs>
        <w:spacing w:after="160" w:line="259" w:lineRule="auto"/>
        <w:ind w:left="990" w:hanging="540"/>
        <w:contextualSpacing/>
        <w:jc w:val="left"/>
        <w:rPr>
          <w:rFonts w:eastAsia="Calibri"/>
        </w:rPr>
      </w:pPr>
      <w:r>
        <w:rPr>
          <w:rFonts w:eastAsia="Calibri"/>
        </w:rPr>
        <w:t>Action Plan is not needed for every countermeasure</w:t>
      </w:r>
    </w:p>
    <w:p w:rsidR="00F516CA" w:rsidRPr="00F516CA" w:rsidRDefault="00F516CA" w:rsidP="00F516CA">
      <w:pPr>
        <w:numPr>
          <w:ilvl w:val="0"/>
          <w:numId w:val="38"/>
        </w:numPr>
        <w:tabs>
          <w:tab w:val="left" w:pos="450"/>
        </w:tabs>
        <w:spacing w:after="160" w:line="259" w:lineRule="auto"/>
        <w:ind w:left="990" w:hanging="540"/>
        <w:contextualSpacing/>
        <w:jc w:val="left"/>
        <w:rPr>
          <w:rFonts w:eastAsia="Calibri"/>
        </w:rPr>
      </w:pPr>
      <w:r w:rsidRPr="00F516CA">
        <w:rPr>
          <w:rFonts w:eastAsia="Calibri"/>
        </w:rPr>
        <w:t>All strategies must have at least one countermeasure with an action plan.</w:t>
      </w:r>
    </w:p>
    <w:p w:rsidR="00F516CA" w:rsidRPr="00F516CA" w:rsidRDefault="00F516CA" w:rsidP="00F516CA">
      <w:pPr>
        <w:numPr>
          <w:ilvl w:val="0"/>
          <w:numId w:val="38"/>
        </w:numPr>
        <w:tabs>
          <w:tab w:val="left" w:pos="450"/>
        </w:tabs>
        <w:spacing w:after="160" w:line="259" w:lineRule="auto"/>
        <w:ind w:left="990" w:hanging="540"/>
        <w:contextualSpacing/>
        <w:jc w:val="left"/>
        <w:rPr>
          <w:rFonts w:eastAsia="Calibri"/>
        </w:rPr>
      </w:pPr>
      <w:r w:rsidRPr="00F516CA">
        <w:rPr>
          <w:rFonts w:eastAsia="Calibri"/>
        </w:rPr>
        <w:t>Ensure that all EA team priorities are addressed.</w:t>
      </w:r>
    </w:p>
    <w:p w:rsidR="00F516CA" w:rsidRPr="00F516CA" w:rsidRDefault="00F516CA" w:rsidP="00F516CA">
      <w:pPr>
        <w:numPr>
          <w:ilvl w:val="0"/>
          <w:numId w:val="38"/>
        </w:numPr>
        <w:tabs>
          <w:tab w:val="left" w:pos="450"/>
        </w:tabs>
        <w:spacing w:after="160" w:line="259" w:lineRule="auto"/>
        <w:ind w:left="990" w:hanging="540"/>
        <w:contextualSpacing/>
        <w:jc w:val="left"/>
        <w:rPr>
          <w:rFonts w:eastAsia="Calibri"/>
        </w:rPr>
      </w:pPr>
      <w:r w:rsidRPr="00F516CA">
        <w:rPr>
          <w:rFonts w:eastAsia="Calibri"/>
        </w:rPr>
        <w:t>Countermeasures can be combined when appropriate (some were already combined about the conference).</w:t>
      </w:r>
    </w:p>
    <w:p w:rsidR="00F516CA" w:rsidRDefault="00F516CA" w:rsidP="0088170B">
      <w:pPr>
        <w:pStyle w:val="BodyText"/>
        <w:rPr>
          <w:b/>
          <w:sz w:val="26"/>
          <w:szCs w:val="26"/>
        </w:rPr>
      </w:pPr>
    </w:p>
    <w:p w:rsidR="00CD61CD" w:rsidRPr="002B5BF7" w:rsidRDefault="002A2E8B" w:rsidP="0088170B">
      <w:pPr>
        <w:pStyle w:val="BodyText"/>
        <w:rPr>
          <w:b/>
          <w:sz w:val="26"/>
          <w:szCs w:val="26"/>
        </w:rPr>
      </w:pPr>
      <w:r>
        <w:rPr>
          <w:b/>
          <w:sz w:val="26"/>
          <w:szCs w:val="26"/>
        </w:rPr>
        <w:t>Older Road User Strategies and Countermeasures</w:t>
      </w:r>
      <w:r w:rsidR="00FC10B2" w:rsidRPr="002B5BF7">
        <w:rPr>
          <w:b/>
          <w:sz w:val="26"/>
          <w:szCs w:val="26"/>
        </w:rPr>
        <w:t xml:space="preserve"> - </w:t>
      </w:r>
      <w:r w:rsidR="00F96AD4" w:rsidRPr="002B5BF7">
        <w:rPr>
          <w:b/>
          <w:sz w:val="26"/>
          <w:szCs w:val="26"/>
        </w:rPr>
        <w:t>Revised</w:t>
      </w:r>
    </w:p>
    <w:p w:rsidR="00F516CA" w:rsidRPr="00F516CA" w:rsidRDefault="00082063" w:rsidP="00082063">
      <w:pPr>
        <w:pStyle w:val="Heading3"/>
        <w:rPr>
          <w:rFonts w:eastAsia="Calibri"/>
          <w:iCs/>
          <w:szCs w:val="24"/>
        </w:rPr>
      </w:pPr>
      <w:r>
        <w:t>Strategy</w:t>
      </w:r>
      <w:r w:rsidR="00F516CA">
        <w:t xml:space="preserve"> #1: </w:t>
      </w:r>
      <w:r w:rsidR="00F516CA" w:rsidRPr="00F516CA">
        <w:rPr>
          <w:rFonts w:ascii="Calibri" w:eastAsia="Calibri" w:hAnsi="Calibri"/>
          <w:iCs/>
          <w:sz w:val="22"/>
        </w:rPr>
        <w:t xml:space="preserve"> </w:t>
      </w:r>
      <w:r w:rsidR="002A2E8B" w:rsidRPr="002A2E8B">
        <w:rPr>
          <w:rFonts w:eastAsia="Calibri"/>
          <w:iCs/>
          <w:szCs w:val="24"/>
        </w:rPr>
        <w:t>Reduce wrong way crashes</w:t>
      </w:r>
    </w:p>
    <w:p w:rsidR="00082063" w:rsidRDefault="00082063" w:rsidP="00082063">
      <w:pPr>
        <w:pStyle w:val="Heading3"/>
        <w:rPr>
          <w:rFonts w:eastAsiaTheme="minorEastAsia"/>
        </w:rPr>
      </w:pPr>
      <w:r>
        <w:rPr>
          <w:rFonts w:eastAsiaTheme="minorEastAsia"/>
        </w:rPr>
        <w:t>Countermeasures and Programs</w:t>
      </w:r>
    </w:p>
    <w:p w:rsidR="00F516CA" w:rsidRDefault="00F516CA" w:rsidP="002A2E8B">
      <w:pPr>
        <w:spacing w:after="120"/>
        <w:ind w:left="720" w:hanging="432"/>
        <w:rPr>
          <w:color w:val="000000"/>
        </w:rPr>
      </w:pPr>
      <w:r w:rsidRPr="00F516CA">
        <w:rPr>
          <w:color w:val="000000"/>
        </w:rPr>
        <w:t>1a</w:t>
      </w:r>
      <w:r w:rsidRPr="00F516CA">
        <w:rPr>
          <w:color w:val="000000"/>
        </w:rPr>
        <w:tab/>
      </w:r>
      <w:r w:rsidR="002A2E8B" w:rsidRPr="002A2E8B">
        <w:rPr>
          <w:color w:val="000000"/>
        </w:rPr>
        <w:t>Track and disseminate the results of wrong way crash mitigation programs around the state.</w:t>
      </w:r>
    </w:p>
    <w:p w:rsidR="002A2E8B" w:rsidRDefault="002A2E8B" w:rsidP="002A2E8B">
      <w:pPr>
        <w:ind w:left="720" w:hanging="432"/>
        <w:rPr>
          <w:color w:val="000000"/>
        </w:rPr>
      </w:pPr>
      <w:r>
        <w:rPr>
          <w:color w:val="000000"/>
        </w:rPr>
        <w:t>1b</w:t>
      </w:r>
      <w:r>
        <w:rPr>
          <w:color w:val="000000"/>
        </w:rPr>
        <w:tab/>
      </w:r>
      <w:r w:rsidRPr="002A2E8B">
        <w:rPr>
          <w:color w:val="000000"/>
        </w:rPr>
        <w:t>Install wrong way driver warning signs, pavement markings, and advanced technology to detect and warn wrong way drivers, particularly at high speed intersections with medians where drivers are likely to turn into oncoming traffic.</w:t>
      </w:r>
    </w:p>
    <w:p w:rsidR="002A2E8B" w:rsidRDefault="002A2E8B" w:rsidP="002A2E8B">
      <w:pPr>
        <w:ind w:left="720" w:hanging="432"/>
        <w:rPr>
          <w:color w:val="000000"/>
        </w:rPr>
      </w:pPr>
      <w:r>
        <w:rPr>
          <w:color w:val="000000"/>
        </w:rPr>
        <w:tab/>
      </w:r>
      <w:r w:rsidRPr="000E20F0">
        <w:rPr>
          <w:b/>
          <w:sz w:val="20"/>
          <w:szCs w:val="20"/>
        </w:rPr>
        <w:t>Note: Countermeasures 1b &amp; 1c combined by EA team</w:t>
      </w:r>
    </w:p>
    <w:p w:rsidR="002A2E8B" w:rsidRPr="00F516CA" w:rsidRDefault="002A2E8B" w:rsidP="002A2E8B">
      <w:pPr>
        <w:ind w:left="720" w:hanging="432"/>
        <w:rPr>
          <w:b/>
          <w:i/>
          <w:color w:val="000000"/>
        </w:rPr>
      </w:pPr>
    </w:p>
    <w:p w:rsidR="00F516CA" w:rsidRDefault="00F516CA" w:rsidP="00F516CA">
      <w:pPr>
        <w:pStyle w:val="Heading3"/>
        <w:spacing w:before="0" w:after="0"/>
        <w:rPr>
          <w:rFonts w:ascii="Calibri" w:hAnsi="Calibri"/>
          <w:color w:val="000000"/>
        </w:rPr>
      </w:pPr>
    </w:p>
    <w:p w:rsidR="00082063" w:rsidRDefault="00082063" w:rsidP="004E01E0">
      <w:pPr>
        <w:pStyle w:val="Heading3"/>
      </w:pPr>
      <w:r>
        <w:t>Strategy</w:t>
      </w:r>
      <w:r w:rsidR="004E01E0">
        <w:t xml:space="preserve"> #2</w:t>
      </w:r>
      <w:r>
        <w:t xml:space="preserve">:  </w:t>
      </w:r>
      <w:r w:rsidR="002A2E8B" w:rsidRPr="002A2E8B">
        <w:t>Design and operate roadways to meet the needs of older road users</w:t>
      </w:r>
    </w:p>
    <w:p w:rsidR="00C73455" w:rsidRDefault="00C73455" w:rsidP="00C73455">
      <w:pPr>
        <w:pStyle w:val="Heading3"/>
        <w:rPr>
          <w:rFonts w:eastAsiaTheme="minorEastAsia"/>
        </w:rPr>
      </w:pPr>
      <w:r>
        <w:rPr>
          <w:rFonts w:eastAsiaTheme="minorEastAsia"/>
        </w:rPr>
        <w:t>Countermeasures and Programs</w:t>
      </w:r>
    </w:p>
    <w:p w:rsidR="004E01E0" w:rsidRDefault="004E01E0" w:rsidP="002A2E8B">
      <w:pPr>
        <w:pStyle w:val="Heading3"/>
        <w:spacing w:before="0" w:after="0"/>
        <w:ind w:left="720" w:hanging="446"/>
        <w:rPr>
          <w:b w:val="0"/>
          <w:i w:val="0"/>
          <w:sz w:val="22"/>
        </w:rPr>
      </w:pPr>
      <w:r>
        <w:rPr>
          <w:b w:val="0"/>
          <w:i w:val="0"/>
          <w:sz w:val="22"/>
        </w:rPr>
        <w:t>2a</w:t>
      </w:r>
      <w:r>
        <w:rPr>
          <w:b w:val="0"/>
          <w:i w:val="0"/>
          <w:sz w:val="22"/>
        </w:rPr>
        <w:tab/>
      </w:r>
      <w:r w:rsidR="002A2E8B" w:rsidRPr="002A2E8B">
        <w:rPr>
          <w:b w:val="0"/>
          <w:i w:val="0"/>
          <w:sz w:val="22"/>
        </w:rPr>
        <w:t>Implement strategies and standards included in the Human Factors Guide and the Handbook for Designing Roadways for the Aging Population broadly across Texas. Specifically adopt as standard practice: Turn lane channelization, offset left-turn lanes, edge line and curb delineation, left-turn traffic control for signalized intersections (protected left turn phases), advance street name signs, particularly at three-legged intersections and locations with a relatively large annual average daily traffic or a large expected number of crashes, larger signs, advance warning signs, overhead lane assignment on intersection approach, and improved signal head visibility.   Publicize improvements</w:t>
      </w:r>
      <w:r w:rsidR="002A2E8B">
        <w:rPr>
          <w:b w:val="0"/>
          <w:i w:val="0"/>
          <w:sz w:val="22"/>
        </w:rPr>
        <w:t>.</w:t>
      </w:r>
    </w:p>
    <w:p w:rsidR="002A2E8B" w:rsidRPr="002A2E8B" w:rsidRDefault="002A2E8B" w:rsidP="002A2E8B">
      <w:pPr>
        <w:pStyle w:val="BodyText"/>
      </w:pPr>
      <w:r>
        <w:tab/>
      </w:r>
      <w:r w:rsidRPr="000E20F0">
        <w:rPr>
          <w:b/>
          <w:sz w:val="20"/>
          <w:szCs w:val="20"/>
        </w:rPr>
        <w:t xml:space="preserve">Note: Additional text added </w:t>
      </w:r>
      <w:r w:rsidR="000E20F0" w:rsidRPr="000E20F0">
        <w:rPr>
          <w:b/>
          <w:sz w:val="20"/>
          <w:szCs w:val="20"/>
        </w:rPr>
        <w:t xml:space="preserve">by </w:t>
      </w:r>
      <w:r w:rsidRPr="000E20F0">
        <w:rPr>
          <w:b/>
          <w:sz w:val="20"/>
          <w:szCs w:val="20"/>
        </w:rPr>
        <w:t>EA team</w:t>
      </w:r>
    </w:p>
    <w:p w:rsidR="004E01E0" w:rsidRDefault="004E01E0" w:rsidP="002A2E8B">
      <w:pPr>
        <w:spacing w:after="120" w:line="257" w:lineRule="auto"/>
        <w:ind w:left="720" w:hanging="446"/>
        <w:jc w:val="left"/>
        <w:rPr>
          <w:color w:val="000000"/>
        </w:rPr>
      </w:pPr>
      <w:r w:rsidRPr="004E01E0">
        <w:t>2b</w:t>
      </w:r>
      <w:r w:rsidRPr="004E01E0">
        <w:tab/>
      </w:r>
      <w:r w:rsidR="002A2E8B" w:rsidRPr="002A2E8B">
        <w:rPr>
          <w:color w:val="000000"/>
        </w:rPr>
        <w:t>Adopt Safe System (Vision Zero) and Complete Streets approaches that benefit older road users when designing and operating roadways.</w:t>
      </w:r>
    </w:p>
    <w:p w:rsidR="004E01E0" w:rsidRDefault="004E01E0" w:rsidP="004E01E0">
      <w:pPr>
        <w:spacing w:after="120"/>
        <w:ind w:left="720" w:hanging="446"/>
        <w:jc w:val="left"/>
        <w:rPr>
          <w:color w:val="000000"/>
        </w:rPr>
      </w:pPr>
      <w:r w:rsidRPr="004E01E0">
        <w:rPr>
          <w:color w:val="000000"/>
        </w:rPr>
        <w:t>2c</w:t>
      </w:r>
      <w:r w:rsidRPr="004E01E0">
        <w:rPr>
          <w:color w:val="000000"/>
        </w:rPr>
        <w:tab/>
      </w:r>
      <w:r w:rsidR="002A2E8B" w:rsidRPr="002A2E8B">
        <w:rPr>
          <w:color w:val="000000"/>
        </w:rPr>
        <w:t>Continue to investigate the effectiveness of intersection geometric features (e.g., channelization, island size, lane width) related to older driver and pedestrian safety.</w:t>
      </w:r>
    </w:p>
    <w:p w:rsidR="002A2E8B" w:rsidRDefault="002A2E8B" w:rsidP="004E01E0">
      <w:pPr>
        <w:spacing w:after="120"/>
        <w:ind w:left="720" w:hanging="446"/>
        <w:jc w:val="left"/>
        <w:rPr>
          <w:color w:val="000000"/>
        </w:rPr>
      </w:pPr>
      <w:r>
        <w:rPr>
          <w:color w:val="000000"/>
        </w:rPr>
        <w:t>2d</w:t>
      </w:r>
      <w:r>
        <w:rPr>
          <w:color w:val="000000"/>
        </w:rPr>
        <w:tab/>
      </w:r>
      <w:r w:rsidRPr="002A2E8B">
        <w:rPr>
          <w:color w:val="000000"/>
        </w:rPr>
        <w:t>Encourage developers to work with law enforcement to proactively mitigate potential crash hazards for older motorists and pedestrians when building or expanding commercial developments based on the FHWA aging population guidance.</w:t>
      </w:r>
    </w:p>
    <w:p w:rsidR="002A2E8B" w:rsidRPr="000E739B" w:rsidRDefault="002A2E8B" w:rsidP="000E739B">
      <w:pPr>
        <w:spacing w:after="240"/>
        <w:ind w:left="720" w:hanging="446"/>
        <w:jc w:val="left"/>
        <w:rPr>
          <w:color w:val="000000"/>
        </w:rPr>
      </w:pPr>
      <w:r>
        <w:rPr>
          <w:color w:val="000000"/>
        </w:rPr>
        <w:t>2e</w:t>
      </w:r>
      <w:r>
        <w:rPr>
          <w:color w:val="000000"/>
        </w:rPr>
        <w:tab/>
      </w:r>
      <w:r w:rsidRPr="002A2E8B">
        <w:rPr>
          <w:color w:val="000000"/>
        </w:rPr>
        <w:t xml:space="preserve">Bring FHWA and National Highway Institute training courses on the Handbook for Designing Roadways for the Aging Population and Human Factors Guidelines to </w:t>
      </w:r>
      <w:proofErr w:type="spellStart"/>
      <w:r w:rsidRPr="002A2E8B">
        <w:rPr>
          <w:color w:val="000000"/>
        </w:rPr>
        <w:t>TxDOT</w:t>
      </w:r>
      <w:proofErr w:type="spellEnd"/>
      <w:r w:rsidRPr="002A2E8B">
        <w:rPr>
          <w:color w:val="000000"/>
        </w:rPr>
        <w:t xml:space="preserve"> districts, MPOs, and city engineering audiences.</w:t>
      </w:r>
    </w:p>
    <w:p w:rsidR="004E01E0" w:rsidRDefault="00082063" w:rsidP="004E01E0">
      <w:pPr>
        <w:pStyle w:val="Heading3"/>
        <w:rPr>
          <w:rFonts w:eastAsiaTheme="minorEastAsia"/>
        </w:rPr>
      </w:pPr>
      <w:r>
        <w:lastRenderedPageBreak/>
        <w:t>Strategy</w:t>
      </w:r>
      <w:r w:rsidR="004E01E0">
        <w:t xml:space="preserve"> #3</w:t>
      </w:r>
      <w:r w:rsidR="000E739B" w:rsidRPr="000E739B">
        <w:t xml:space="preserve"> Implement effective methods and tools to prepare older road users to deal with the limitations brought on by the aging process</w:t>
      </w:r>
      <w:r w:rsidR="000E739B" w:rsidRPr="000E739B">
        <w:rPr>
          <w:rFonts w:eastAsiaTheme="minorEastAsia"/>
        </w:rPr>
        <w:t xml:space="preserve"> </w:t>
      </w:r>
      <w:r w:rsidR="004E01E0">
        <w:rPr>
          <w:rFonts w:eastAsiaTheme="minorEastAsia"/>
        </w:rPr>
        <w:t>Countermeasures and Programs</w:t>
      </w:r>
    </w:p>
    <w:p w:rsidR="004E01E0" w:rsidRDefault="004E01E0" w:rsidP="000E739B">
      <w:pPr>
        <w:pStyle w:val="Heading3"/>
        <w:spacing w:before="0" w:after="120"/>
        <w:ind w:left="720" w:hanging="446"/>
        <w:rPr>
          <w:b w:val="0"/>
          <w:i w:val="0"/>
          <w:sz w:val="22"/>
        </w:rPr>
      </w:pPr>
      <w:r>
        <w:rPr>
          <w:b w:val="0"/>
          <w:i w:val="0"/>
          <w:sz w:val="22"/>
        </w:rPr>
        <w:t>3</w:t>
      </w:r>
      <w:r w:rsidR="00826A36">
        <w:rPr>
          <w:b w:val="0"/>
          <w:i w:val="0"/>
          <w:sz w:val="22"/>
        </w:rPr>
        <w:t>b</w:t>
      </w:r>
      <w:r>
        <w:rPr>
          <w:b w:val="0"/>
          <w:i w:val="0"/>
          <w:sz w:val="22"/>
        </w:rPr>
        <w:tab/>
      </w:r>
      <w:r w:rsidR="000E739B" w:rsidRPr="000E739B">
        <w:rPr>
          <w:b w:val="0"/>
          <w:i w:val="0"/>
          <w:sz w:val="22"/>
        </w:rPr>
        <w:t>Initiate a pilot program designed to test a smartphone-based application that provides real-time information and warnings to older road users.</w:t>
      </w:r>
    </w:p>
    <w:p w:rsidR="000E739B" w:rsidRDefault="004E01E0" w:rsidP="000E739B">
      <w:pPr>
        <w:pStyle w:val="NormalWeb"/>
        <w:spacing w:before="0" w:beforeAutospacing="0" w:after="120" w:afterAutospacing="0"/>
        <w:ind w:left="720" w:hanging="446"/>
      </w:pPr>
      <w:r w:rsidRPr="004E01E0">
        <w:rPr>
          <w:rFonts w:ascii="Book Antiqua" w:hAnsi="Book Antiqua"/>
          <w:sz w:val="22"/>
          <w:szCs w:val="22"/>
        </w:rPr>
        <w:t>3</w:t>
      </w:r>
      <w:r w:rsidR="00826A36">
        <w:rPr>
          <w:rFonts w:ascii="Book Antiqua" w:hAnsi="Book Antiqua"/>
          <w:sz w:val="22"/>
          <w:szCs w:val="22"/>
        </w:rPr>
        <w:t>d</w:t>
      </w:r>
      <w:r w:rsidRPr="004E01E0">
        <w:rPr>
          <w:rFonts w:ascii="Book Antiqua" w:hAnsi="Book Antiqua"/>
          <w:sz w:val="22"/>
          <w:szCs w:val="22"/>
        </w:rPr>
        <w:tab/>
      </w:r>
      <w:r w:rsidR="000E739B" w:rsidRPr="000E739B">
        <w:rPr>
          <w:rFonts w:ascii="Book Antiqua" w:eastAsia="+mn-ea" w:hAnsi="Book Antiqua" w:cs="+mn-cs"/>
          <w:color w:val="000000"/>
          <w:kern w:val="24"/>
          <w:sz w:val="22"/>
          <w:szCs w:val="22"/>
        </w:rPr>
        <w:t>Encourage participation by older road users in the education and training opportunities, such as AARP Smart Driver™.</w:t>
      </w:r>
      <w:r w:rsidR="009A3B9B">
        <w:tab/>
      </w:r>
    </w:p>
    <w:p w:rsidR="000E20F0" w:rsidRDefault="000E739B" w:rsidP="000E20F0">
      <w:pPr>
        <w:pStyle w:val="NormalWeb"/>
        <w:spacing w:before="0" w:beforeAutospacing="0" w:after="0" w:afterAutospacing="0"/>
        <w:ind w:left="720" w:hanging="446"/>
        <w:rPr>
          <w:rFonts w:ascii="Book Antiqua" w:hAnsi="Book Antiqua"/>
          <w:sz w:val="22"/>
          <w:szCs w:val="22"/>
        </w:rPr>
      </w:pPr>
      <w:r w:rsidRPr="000E739B">
        <w:rPr>
          <w:rFonts w:ascii="Book Antiqua" w:hAnsi="Book Antiqua"/>
          <w:sz w:val="22"/>
          <w:szCs w:val="22"/>
        </w:rPr>
        <w:t>3</w:t>
      </w:r>
      <w:r w:rsidR="00826A36">
        <w:rPr>
          <w:rFonts w:ascii="Book Antiqua" w:hAnsi="Book Antiqua"/>
          <w:sz w:val="22"/>
          <w:szCs w:val="22"/>
        </w:rPr>
        <w:t>e</w:t>
      </w:r>
      <w:r w:rsidRPr="000E739B">
        <w:rPr>
          <w:rFonts w:ascii="Book Antiqua" w:hAnsi="Book Antiqua"/>
          <w:sz w:val="22"/>
          <w:szCs w:val="22"/>
        </w:rPr>
        <w:tab/>
        <w:t xml:space="preserve">Encourage adoption of a law requiring periodic driver licensing tests for adults. </w:t>
      </w:r>
    </w:p>
    <w:p w:rsidR="004E01E0" w:rsidRPr="000E20F0" w:rsidRDefault="009A3B9B" w:rsidP="000E20F0">
      <w:pPr>
        <w:pStyle w:val="NormalWeb"/>
        <w:spacing w:before="0" w:beforeAutospacing="0" w:after="0" w:afterAutospacing="0"/>
        <w:ind w:left="720"/>
        <w:rPr>
          <w:rFonts w:ascii="Book Antiqua" w:hAnsi="Book Antiqua"/>
          <w:sz w:val="22"/>
          <w:szCs w:val="22"/>
        </w:rPr>
      </w:pPr>
      <w:r w:rsidRPr="000E20F0">
        <w:rPr>
          <w:rFonts w:ascii="Book Antiqua" w:hAnsi="Book Antiqua"/>
          <w:b/>
          <w:sz w:val="20"/>
          <w:szCs w:val="20"/>
        </w:rPr>
        <w:t xml:space="preserve">Note: </w:t>
      </w:r>
      <w:r w:rsidR="00826A36" w:rsidRPr="000E20F0">
        <w:rPr>
          <w:rFonts w:ascii="Book Antiqua" w:hAnsi="Book Antiqua"/>
          <w:b/>
          <w:sz w:val="20"/>
          <w:szCs w:val="20"/>
        </w:rPr>
        <w:t>C</w:t>
      </w:r>
      <w:r w:rsidR="00320BA1" w:rsidRPr="000E20F0">
        <w:rPr>
          <w:rFonts w:ascii="Book Antiqua" w:hAnsi="Book Antiqua"/>
          <w:b/>
          <w:sz w:val="20"/>
          <w:szCs w:val="20"/>
        </w:rPr>
        <w:t>o</w:t>
      </w:r>
      <w:r w:rsidRPr="000E20F0">
        <w:rPr>
          <w:rFonts w:ascii="Book Antiqua" w:hAnsi="Book Antiqua"/>
          <w:b/>
          <w:sz w:val="20"/>
          <w:szCs w:val="20"/>
        </w:rPr>
        <w:t>untermeasure</w:t>
      </w:r>
      <w:r w:rsidR="00826A36" w:rsidRPr="000E20F0">
        <w:rPr>
          <w:rFonts w:ascii="Book Antiqua" w:hAnsi="Book Antiqua"/>
          <w:b/>
          <w:sz w:val="20"/>
          <w:szCs w:val="20"/>
        </w:rPr>
        <w:t xml:space="preserve">s 3a, 3c, and part of 3e were </w:t>
      </w:r>
      <w:r w:rsidR="00320BA1" w:rsidRPr="000E20F0">
        <w:rPr>
          <w:rFonts w:ascii="Book Antiqua" w:hAnsi="Book Antiqua"/>
          <w:b/>
          <w:sz w:val="20"/>
          <w:szCs w:val="20"/>
        </w:rPr>
        <w:t>combined with countermeasure 5b</w:t>
      </w:r>
      <w:r w:rsidR="00826A36" w:rsidRPr="000E20F0">
        <w:rPr>
          <w:rFonts w:ascii="Book Antiqua" w:hAnsi="Book Antiqua"/>
          <w:b/>
          <w:sz w:val="20"/>
          <w:szCs w:val="20"/>
        </w:rPr>
        <w:t>.</w:t>
      </w:r>
      <w:r w:rsidR="000E739B" w:rsidRPr="000E20F0">
        <w:rPr>
          <w:rFonts w:ascii="Book Antiqua" w:hAnsi="Book Antiqua"/>
          <w:b/>
          <w:sz w:val="20"/>
          <w:szCs w:val="20"/>
        </w:rPr>
        <w:t xml:space="preserve"> </w:t>
      </w:r>
    </w:p>
    <w:p w:rsidR="001C25A8" w:rsidRPr="001C25A8" w:rsidRDefault="001C25A8" w:rsidP="00CB0926">
      <w:pPr>
        <w:pStyle w:val="BodyText"/>
        <w:spacing w:before="120"/>
        <w:ind w:left="288"/>
        <w:jc w:val="left"/>
        <w:rPr>
          <w:b/>
          <w:i/>
          <w:sz w:val="24"/>
          <w:szCs w:val="24"/>
        </w:rPr>
      </w:pPr>
      <w:r w:rsidRPr="001C25A8">
        <w:rPr>
          <w:b/>
          <w:i/>
          <w:sz w:val="24"/>
          <w:szCs w:val="24"/>
        </w:rPr>
        <w:t>Strategy</w:t>
      </w:r>
      <w:r w:rsidR="00861187">
        <w:rPr>
          <w:b/>
          <w:i/>
          <w:sz w:val="24"/>
          <w:szCs w:val="24"/>
        </w:rPr>
        <w:t xml:space="preserve"> #4</w:t>
      </w:r>
      <w:r w:rsidRPr="001C25A8">
        <w:rPr>
          <w:b/>
          <w:i/>
          <w:sz w:val="24"/>
          <w:szCs w:val="24"/>
        </w:rPr>
        <w:t xml:space="preserve">:  </w:t>
      </w:r>
      <w:r w:rsidR="00320BA1" w:rsidRPr="00320BA1">
        <w:rPr>
          <w:b/>
          <w:i/>
          <w:sz w:val="24"/>
          <w:szCs w:val="24"/>
        </w:rPr>
        <w:t>Improve mobility options for older road users</w:t>
      </w:r>
    </w:p>
    <w:p w:rsidR="001C25A8" w:rsidRDefault="001C25A8" w:rsidP="001C25A8">
      <w:pPr>
        <w:pStyle w:val="Heading3"/>
        <w:rPr>
          <w:rFonts w:eastAsiaTheme="minorEastAsia"/>
        </w:rPr>
      </w:pPr>
      <w:r>
        <w:rPr>
          <w:rFonts w:eastAsiaTheme="minorEastAsia"/>
        </w:rPr>
        <w:t>Countermeasures and Programs</w:t>
      </w:r>
    </w:p>
    <w:p w:rsidR="001C25A8" w:rsidRDefault="00861187" w:rsidP="00861187">
      <w:pPr>
        <w:pStyle w:val="BodyText"/>
        <w:ind w:left="720" w:hanging="432"/>
        <w:jc w:val="left"/>
      </w:pPr>
      <w:r>
        <w:t>4a</w:t>
      </w:r>
      <w:r>
        <w:tab/>
      </w:r>
      <w:r w:rsidR="00320BA1" w:rsidRPr="00320BA1">
        <w:t>Create regional clearinghouses on mobility options available to older road users and educate the public on methods for identifying mobility options at t</w:t>
      </w:r>
      <w:r w:rsidR="00320BA1">
        <w:t>he community level</w:t>
      </w:r>
      <w:r w:rsidRPr="00861187">
        <w:t>.</w:t>
      </w:r>
    </w:p>
    <w:p w:rsidR="00320BA1" w:rsidRDefault="00861187" w:rsidP="00320BA1">
      <w:pPr>
        <w:pStyle w:val="BodyText"/>
        <w:spacing w:after="0"/>
        <w:ind w:left="720" w:hanging="432"/>
        <w:jc w:val="left"/>
      </w:pPr>
      <w:r>
        <w:t>4b</w:t>
      </w:r>
      <w:r>
        <w:tab/>
      </w:r>
      <w:r w:rsidR="00320BA1" w:rsidRPr="00320BA1">
        <w:t>Identify current and recommended strategies for improving older person mobility in urban and rural areas, fund research on ways to encourage use of mobility options other than driving (including transit and transportation network companies) by older drivers and recommend strategies for improving mobility in urban and rural areas</w:t>
      </w:r>
      <w:r w:rsidR="00320BA1">
        <w:t>.</w:t>
      </w:r>
    </w:p>
    <w:p w:rsidR="009A3B9B" w:rsidRPr="009A3B9B" w:rsidRDefault="009A3B9B" w:rsidP="00320BA1">
      <w:pPr>
        <w:pStyle w:val="BodyText"/>
        <w:spacing w:after="0"/>
        <w:ind w:left="720" w:hanging="432"/>
        <w:jc w:val="left"/>
        <w:rPr>
          <w:b/>
          <w:sz w:val="20"/>
          <w:szCs w:val="20"/>
        </w:rPr>
      </w:pPr>
      <w:r>
        <w:rPr>
          <w:color w:val="000000"/>
        </w:rPr>
        <w:tab/>
      </w:r>
      <w:r w:rsidRPr="000E20F0">
        <w:rPr>
          <w:b/>
          <w:sz w:val="20"/>
          <w:szCs w:val="20"/>
        </w:rPr>
        <w:t>Note: Countermeasures 4b &amp; 4c combined by EA team</w:t>
      </w:r>
    </w:p>
    <w:p w:rsidR="009A3B9B" w:rsidRPr="00861187" w:rsidRDefault="009A3B9B" w:rsidP="00861187">
      <w:pPr>
        <w:pStyle w:val="BodyText"/>
        <w:ind w:left="720" w:hanging="432"/>
        <w:jc w:val="left"/>
      </w:pPr>
    </w:p>
    <w:p w:rsidR="00861187" w:rsidRDefault="00082063" w:rsidP="00861187">
      <w:pPr>
        <w:pStyle w:val="Heading3"/>
        <w:spacing w:before="0"/>
      </w:pPr>
      <w:r>
        <w:t>Strategy</w:t>
      </w:r>
      <w:r w:rsidR="00861187">
        <w:t xml:space="preserve"> #5</w:t>
      </w:r>
      <w:r>
        <w:t xml:space="preserve">:  </w:t>
      </w:r>
      <w:r w:rsidR="00320BA1" w:rsidRPr="00320BA1">
        <w:t>Implement methods to reduce injury severity among older road users</w:t>
      </w:r>
    </w:p>
    <w:p w:rsidR="001F1D86" w:rsidRDefault="001F1D86" w:rsidP="00861187">
      <w:pPr>
        <w:pStyle w:val="Heading3"/>
        <w:spacing w:before="0"/>
        <w:rPr>
          <w:rFonts w:eastAsiaTheme="minorEastAsia"/>
        </w:rPr>
      </w:pPr>
      <w:r>
        <w:rPr>
          <w:rFonts w:eastAsiaTheme="minorEastAsia"/>
        </w:rPr>
        <w:t>Countermeasures and Programs</w:t>
      </w:r>
    </w:p>
    <w:p w:rsidR="00320BA1" w:rsidRDefault="00861187" w:rsidP="00861187">
      <w:pPr>
        <w:pStyle w:val="BodyText"/>
        <w:ind w:left="720" w:hanging="450"/>
        <w:jc w:val="left"/>
      </w:pPr>
      <w:r>
        <w:t>5a</w:t>
      </w:r>
      <w:r>
        <w:tab/>
      </w:r>
      <w:r w:rsidR="00320BA1" w:rsidRPr="00320BA1">
        <w:t>Adopt a Safe System (Vision Zero) approach to reduce the consequences of human error.</w:t>
      </w:r>
    </w:p>
    <w:p w:rsidR="00320BA1" w:rsidRDefault="00861187" w:rsidP="00B311C7">
      <w:pPr>
        <w:pStyle w:val="BodyText"/>
        <w:spacing w:after="0"/>
        <w:ind w:left="720" w:hanging="446"/>
        <w:jc w:val="left"/>
      </w:pPr>
      <w:r>
        <w:t>5b</w:t>
      </w:r>
      <w:r>
        <w:tab/>
      </w:r>
      <w:r w:rsidR="00320BA1" w:rsidRPr="00320BA1">
        <w:t>Educate</w:t>
      </w:r>
      <w:r w:rsidR="00320BA1">
        <w:t xml:space="preserve"> </w:t>
      </w:r>
      <w:r w:rsidR="00320BA1" w:rsidRPr="00320BA1">
        <w:t>older drivers on vehicle safety technologies, vehicle safety systems, and after-market products useful for reducing injuries due to traffic incidences (Pilot test providing vehicle safety system information from the My Car Does What program in one or more motor vehicle offices).</w:t>
      </w:r>
    </w:p>
    <w:p w:rsidR="00320BA1" w:rsidRPr="00320BA1" w:rsidRDefault="00B311C7" w:rsidP="00CB0926">
      <w:pPr>
        <w:pStyle w:val="BodyText"/>
        <w:spacing w:after="0"/>
        <w:ind w:left="720" w:hanging="446"/>
        <w:jc w:val="left"/>
      </w:pPr>
      <w:r>
        <w:tab/>
      </w:r>
    </w:p>
    <w:p w:rsidR="00320BA1" w:rsidRDefault="00320BA1" w:rsidP="00320BA1">
      <w:pPr>
        <w:pStyle w:val="BodyText"/>
        <w:spacing w:after="0"/>
        <w:ind w:left="720"/>
        <w:jc w:val="left"/>
      </w:pPr>
      <w:r w:rsidRPr="00320BA1">
        <w:t xml:space="preserve">Implement </w:t>
      </w:r>
      <w:proofErr w:type="spellStart"/>
      <w:r w:rsidRPr="00320BA1">
        <w:t>CarFit</w:t>
      </w:r>
      <w:proofErr w:type="spellEnd"/>
      <w:r w:rsidRPr="00320BA1">
        <w:t xml:space="preserve">, an educational program that offers older adults the opportunity to check how well their personal vehicles fit them. </w:t>
      </w:r>
    </w:p>
    <w:p w:rsidR="00320BA1" w:rsidRPr="00320BA1" w:rsidRDefault="00320BA1" w:rsidP="00320BA1">
      <w:pPr>
        <w:pStyle w:val="BodyText"/>
        <w:spacing w:after="0"/>
        <w:ind w:left="720"/>
        <w:jc w:val="left"/>
      </w:pPr>
    </w:p>
    <w:p w:rsidR="00320BA1" w:rsidRPr="00320BA1" w:rsidRDefault="00320BA1" w:rsidP="00320BA1">
      <w:pPr>
        <w:pStyle w:val="BodyText"/>
        <w:ind w:left="720"/>
        <w:jc w:val="left"/>
      </w:pPr>
      <w:r w:rsidRPr="00320BA1">
        <w:t>Identify resources and disseminate the information to increase older road user safety knowledge and awareness (AAA, AARP, Hartford Insurance, Hillcrest Medical Center caregiver-focused mature driver program, and the Fort Worth Blue Zone).</w:t>
      </w:r>
    </w:p>
    <w:p w:rsidR="00320BA1" w:rsidRPr="00320BA1" w:rsidRDefault="00320BA1" w:rsidP="00320BA1">
      <w:pPr>
        <w:pStyle w:val="BodyText"/>
        <w:ind w:left="720"/>
        <w:jc w:val="left"/>
      </w:pPr>
      <w:r w:rsidRPr="00320BA1">
        <w:t>Educate and encourage medical professionals to discuss driving ability especially as it relates to post-surgery, specific medications, and general aging.</w:t>
      </w:r>
    </w:p>
    <w:p w:rsidR="001F1D86" w:rsidRDefault="00320BA1" w:rsidP="00BE641E">
      <w:pPr>
        <w:pStyle w:val="BodyText"/>
        <w:spacing w:after="0"/>
        <w:ind w:left="720"/>
        <w:jc w:val="left"/>
      </w:pPr>
      <w:r w:rsidRPr="00320BA1">
        <w:lastRenderedPageBreak/>
        <w:t xml:space="preserve">Educate law enforcement on importance of, and procedures and practices, to refer drivers to the </w:t>
      </w:r>
      <w:proofErr w:type="spellStart"/>
      <w:r w:rsidRPr="00320BA1">
        <w:t>Drivers</w:t>
      </w:r>
      <w:proofErr w:type="spellEnd"/>
      <w:r w:rsidRPr="00320BA1">
        <w:t xml:space="preserve"> License Medical Advisory Board Video, pamphlets, pocket cards) (</w:t>
      </w:r>
      <w:proofErr w:type="spellStart"/>
      <w:r w:rsidRPr="00320BA1">
        <w:t>TxDOT</w:t>
      </w:r>
      <w:proofErr w:type="spellEnd"/>
      <w:r w:rsidRPr="00320BA1">
        <w:t xml:space="preserve"> outreach program)</w:t>
      </w:r>
    </w:p>
    <w:p w:rsidR="00BE641E" w:rsidRPr="00B311C7" w:rsidRDefault="00BE641E" w:rsidP="00BE641E">
      <w:pPr>
        <w:pStyle w:val="BodyText"/>
        <w:spacing w:after="0"/>
        <w:ind w:left="720"/>
        <w:jc w:val="left"/>
        <w:rPr>
          <w:b/>
          <w:sz w:val="20"/>
          <w:szCs w:val="20"/>
        </w:rPr>
      </w:pPr>
      <w:r w:rsidRPr="00D57645">
        <w:rPr>
          <w:b/>
          <w:sz w:val="20"/>
          <w:szCs w:val="20"/>
        </w:rPr>
        <w:t>Note: Countermeasure 5b now includes countermeasures 3a</w:t>
      </w:r>
      <w:r w:rsidR="00826A36" w:rsidRPr="00D57645">
        <w:rPr>
          <w:b/>
          <w:sz w:val="20"/>
          <w:szCs w:val="20"/>
        </w:rPr>
        <w:t xml:space="preserve">, 3c and part of </w:t>
      </w:r>
      <w:r w:rsidRPr="00D57645">
        <w:rPr>
          <w:b/>
          <w:sz w:val="20"/>
          <w:szCs w:val="20"/>
        </w:rPr>
        <w:t>3e. Additional text was also added.</w:t>
      </w:r>
    </w:p>
    <w:p w:rsidR="00BE641E" w:rsidRDefault="00BE641E" w:rsidP="00BE641E">
      <w:pPr>
        <w:pStyle w:val="BodyText"/>
        <w:spacing w:after="0"/>
        <w:ind w:left="720"/>
        <w:jc w:val="left"/>
      </w:pPr>
    </w:p>
    <w:p w:rsidR="00861187" w:rsidRPr="00861187" w:rsidRDefault="00861187" w:rsidP="00861187">
      <w:pPr>
        <w:pStyle w:val="BodyText"/>
        <w:ind w:left="720" w:hanging="450"/>
        <w:jc w:val="left"/>
        <w:rPr>
          <w:color w:val="000000"/>
        </w:rPr>
      </w:pPr>
      <w:r w:rsidRPr="00861187">
        <w:t>5c</w:t>
      </w:r>
      <w:r w:rsidRPr="00861187">
        <w:tab/>
      </w:r>
      <w:r w:rsidR="00B311C7" w:rsidRPr="00B311C7">
        <w:rPr>
          <w:color w:val="000000"/>
        </w:rPr>
        <w:t>Provide incentives for purchase of vehicles with enhanced safety features.</w:t>
      </w:r>
    </w:p>
    <w:p w:rsidR="00861187" w:rsidRDefault="00861187" w:rsidP="00B311C7">
      <w:pPr>
        <w:spacing w:line="257" w:lineRule="auto"/>
        <w:ind w:left="720" w:hanging="446"/>
        <w:jc w:val="left"/>
        <w:rPr>
          <w:color w:val="000000"/>
        </w:rPr>
      </w:pPr>
      <w:r w:rsidRPr="00861187">
        <w:rPr>
          <w:color w:val="000000"/>
        </w:rPr>
        <w:t>5d</w:t>
      </w:r>
      <w:r w:rsidRPr="00861187">
        <w:rPr>
          <w:color w:val="000000"/>
        </w:rPr>
        <w:tab/>
      </w:r>
      <w:r w:rsidR="00B311C7" w:rsidRPr="00B311C7">
        <w:rPr>
          <w:color w:val="000000"/>
        </w:rPr>
        <w:t xml:space="preserve">Determine older road </w:t>
      </w:r>
      <w:proofErr w:type="gramStart"/>
      <w:r w:rsidR="00B311C7" w:rsidRPr="00B311C7">
        <w:rPr>
          <w:color w:val="000000"/>
        </w:rPr>
        <w:t>users</w:t>
      </w:r>
      <w:proofErr w:type="gramEnd"/>
      <w:r w:rsidR="00B311C7" w:rsidRPr="00B311C7">
        <w:rPr>
          <w:color w:val="000000"/>
        </w:rPr>
        <w:t xml:space="preserve"> safety belt use from </w:t>
      </w:r>
      <w:proofErr w:type="spellStart"/>
      <w:r w:rsidR="00B311C7" w:rsidRPr="00B311C7">
        <w:rPr>
          <w:color w:val="000000"/>
        </w:rPr>
        <w:t>TxDOT</w:t>
      </w:r>
      <w:proofErr w:type="spellEnd"/>
      <w:r w:rsidR="00B311C7" w:rsidRPr="00B311C7">
        <w:rPr>
          <w:color w:val="000000"/>
        </w:rPr>
        <w:t xml:space="preserve"> surveys and conduct a targeted campaign explaining the benefits of safety belt use.</w:t>
      </w:r>
    </w:p>
    <w:p w:rsidR="00B311C7" w:rsidRDefault="00B311C7" w:rsidP="00B311C7">
      <w:pPr>
        <w:spacing w:line="256" w:lineRule="auto"/>
        <w:ind w:left="720" w:hanging="450"/>
        <w:jc w:val="left"/>
        <w:rPr>
          <w:color w:val="000000"/>
        </w:rPr>
      </w:pPr>
    </w:p>
    <w:p w:rsidR="00B311C7" w:rsidRDefault="00B311C7" w:rsidP="00B311C7">
      <w:pPr>
        <w:spacing w:after="240"/>
        <w:ind w:left="720" w:hanging="446"/>
        <w:jc w:val="left"/>
      </w:pPr>
      <w:r>
        <w:rPr>
          <w:color w:val="000000"/>
        </w:rPr>
        <w:t>5e</w:t>
      </w:r>
      <w:r>
        <w:rPr>
          <w:color w:val="000000"/>
        </w:rPr>
        <w:tab/>
      </w:r>
      <w:r w:rsidRPr="00B311C7">
        <w:rPr>
          <w:color w:val="000000"/>
        </w:rPr>
        <w:t>Work with Texas Automobile Dealers Association to educate older vehicle purchasers on vehicle safety technologies and provide incentives for purchasing safer vehicles.</w:t>
      </w:r>
    </w:p>
    <w:p w:rsidR="009E5014" w:rsidRDefault="00B311C7" w:rsidP="009E5014">
      <w:pPr>
        <w:pStyle w:val="BodyText"/>
        <w:rPr>
          <w:b/>
          <w:sz w:val="26"/>
          <w:szCs w:val="26"/>
        </w:rPr>
      </w:pPr>
      <w:r>
        <w:rPr>
          <w:b/>
          <w:sz w:val="26"/>
          <w:szCs w:val="26"/>
        </w:rPr>
        <w:t>Older Road Users</w:t>
      </w:r>
      <w:r w:rsidR="009E5014" w:rsidRPr="002B5BF7">
        <w:rPr>
          <w:b/>
          <w:sz w:val="26"/>
          <w:szCs w:val="26"/>
        </w:rPr>
        <w:t xml:space="preserve"> </w:t>
      </w:r>
      <w:r w:rsidR="009E5014">
        <w:rPr>
          <w:b/>
          <w:sz w:val="26"/>
          <w:szCs w:val="26"/>
        </w:rPr>
        <w:t>Countermeasures for Action Planning</w:t>
      </w:r>
    </w:p>
    <w:p w:rsidR="009E5014" w:rsidRDefault="009E5014" w:rsidP="00B311C7">
      <w:pPr>
        <w:ind w:left="720" w:hanging="432"/>
        <w:rPr>
          <w:b/>
          <w:i/>
          <w:color w:val="000000"/>
        </w:rPr>
      </w:pPr>
      <w:r w:rsidRPr="00F516CA">
        <w:rPr>
          <w:color w:val="000000"/>
        </w:rPr>
        <w:t>1</w:t>
      </w:r>
      <w:r w:rsidR="00B311C7">
        <w:rPr>
          <w:color w:val="000000"/>
        </w:rPr>
        <w:t>b</w:t>
      </w:r>
      <w:r w:rsidRPr="00F516CA">
        <w:rPr>
          <w:color w:val="000000"/>
        </w:rPr>
        <w:tab/>
      </w:r>
      <w:r w:rsidR="00B311C7" w:rsidRPr="00B311C7">
        <w:rPr>
          <w:color w:val="000000"/>
        </w:rPr>
        <w:t>Install wrong way driver warning signs, pavement markings, and advanced technology to detect and warn wrong way drivers, particularly at high speed intersections with medians where drivers are likely to turn into oncoming traffic.</w:t>
      </w:r>
      <w:r>
        <w:rPr>
          <w:b/>
          <w:i/>
          <w:color w:val="000000"/>
        </w:rPr>
        <w:t xml:space="preserve"> </w:t>
      </w:r>
    </w:p>
    <w:p w:rsidR="009E5014" w:rsidRPr="009E5014" w:rsidRDefault="009E5014" w:rsidP="009E5014">
      <w:pPr>
        <w:pStyle w:val="BodyText"/>
        <w:rPr>
          <w:b/>
        </w:rPr>
      </w:pPr>
      <w:r>
        <w:tab/>
      </w:r>
      <w:r w:rsidR="00397EF1">
        <w:rPr>
          <w:b/>
        </w:rPr>
        <w:t>Robert will check with Melissa Finley</w:t>
      </w:r>
    </w:p>
    <w:p w:rsidR="009E5014" w:rsidRDefault="00BE641E" w:rsidP="00BE641E">
      <w:pPr>
        <w:pStyle w:val="BodyText"/>
        <w:spacing w:after="0"/>
        <w:ind w:left="720" w:hanging="432"/>
        <w:jc w:val="left"/>
        <w:rPr>
          <w:rFonts w:eastAsia="+mn-ea" w:cs="+mn-cs"/>
          <w:color w:val="000000"/>
          <w:kern w:val="24"/>
        </w:rPr>
      </w:pPr>
      <w:r>
        <w:t>2a</w:t>
      </w:r>
      <w:r w:rsidR="009E5014" w:rsidRPr="004E01E0">
        <w:tab/>
      </w:r>
      <w:r w:rsidRPr="00BE641E">
        <w:rPr>
          <w:rFonts w:eastAsia="+mn-ea" w:cs="+mn-cs"/>
          <w:color w:val="000000"/>
          <w:kern w:val="24"/>
        </w:rPr>
        <w:t>Implement strategies and standards included in the Human Factors Guide and the Handbook for Designing Roadways for the Aging Population broadly across Texas. Specifically adopt as standard practice: Turn lane channelization, offset left-turn lanes, edge line and curb delineation, left-turn traffic control for signalized intersections (protected left turn phases), advance street name signs, particularly at three-legged intersections and locations with a relatively large annual average daily traffic or a large expected number of crashes, larger signs, advance warning signs, overhead lane assignment on intersection approach, and improved signal head visibility.   Publicize improvements.</w:t>
      </w:r>
    </w:p>
    <w:p w:rsidR="000E20F0" w:rsidRDefault="000E20F0" w:rsidP="000E20F0">
      <w:pPr>
        <w:pStyle w:val="BodyText"/>
        <w:spacing w:after="0"/>
        <w:ind w:left="720"/>
        <w:jc w:val="left"/>
        <w:rPr>
          <w:b/>
        </w:rPr>
      </w:pPr>
      <w:r w:rsidRPr="00D57645">
        <w:rPr>
          <w:b/>
        </w:rPr>
        <w:t>Paula Sales-Evans, Marcus Brewer</w:t>
      </w:r>
      <w:r w:rsidR="00D57645">
        <w:rPr>
          <w:b/>
        </w:rPr>
        <w:t>, Robert will help</w:t>
      </w:r>
    </w:p>
    <w:p w:rsidR="00BE641E" w:rsidRDefault="00BE641E" w:rsidP="00BE641E">
      <w:pPr>
        <w:pStyle w:val="BodyText"/>
        <w:spacing w:after="120"/>
        <w:ind w:left="720" w:hanging="432"/>
        <w:jc w:val="left"/>
        <w:rPr>
          <w:rFonts w:eastAsia="+mn-ea" w:cs="+mn-cs"/>
          <w:b/>
          <w:color w:val="000000"/>
          <w:kern w:val="24"/>
        </w:rPr>
      </w:pPr>
      <w:r>
        <w:rPr>
          <w:rFonts w:eastAsia="+mn-ea" w:cs="+mn-cs"/>
          <w:color w:val="000000"/>
          <w:kern w:val="24"/>
        </w:rPr>
        <w:tab/>
      </w:r>
    </w:p>
    <w:p w:rsidR="00397EF1" w:rsidRDefault="00397EF1" w:rsidP="00397EF1">
      <w:pPr>
        <w:pStyle w:val="BodyText"/>
        <w:spacing w:after="0"/>
        <w:ind w:left="720" w:hanging="432"/>
        <w:jc w:val="left"/>
        <w:rPr>
          <w:color w:val="000000"/>
        </w:rPr>
      </w:pPr>
      <w:r>
        <w:rPr>
          <w:color w:val="000000"/>
        </w:rPr>
        <w:t>2e</w:t>
      </w:r>
      <w:r>
        <w:rPr>
          <w:color w:val="000000"/>
        </w:rPr>
        <w:tab/>
      </w:r>
      <w:r w:rsidRPr="00BE641E">
        <w:rPr>
          <w:color w:val="000000"/>
        </w:rPr>
        <w:t xml:space="preserve">Bring FHWA and National Highway Institute training courses on the Handbook for Designing Roadways for the Aging Population and Human Factors Guidelines to </w:t>
      </w:r>
      <w:proofErr w:type="spellStart"/>
      <w:r w:rsidRPr="00BE641E">
        <w:rPr>
          <w:color w:val="000000"/>
        </w:rPr>
        <w:t>TxDOT</w:t>
      </w:r>
      <w:proofErr w:type="spellEnd"/>
      <w:r w:rsidRPr="00BE641E">
        <w:rPr>
          <w:color w:val="000000"/>
        </w:rPr>
        <w:t xml:space="preserve"> districts, MPOs, and city engineering audiences.</w:t>
      </w:r>
    </w:p>
    <w:p w:rsidR="00397EF1" w:rsidRDefault="001B6322" w:rsidP="00397EF1">
      <w:pPr>
        <w:pStyle w:val="BodyText"/>
        <w:spacing w:after="0"/>
        <w:ind w:left="720"/>
        <w:jc w:val="left"/>
        <w:rPr>
          <w:b/>
        </w:rPr>
      </w:pPr>
      <w:r>
        <w:rPr>
          <w:b/>
        </w:rPr>
        <w:t>Millie Hayes, Marcus Brewer</w:t>
      </w:r>
      <w:r w:rsidR="000E20F0">
        <w:rPr>
          <w:b/>
        </w:rPr>
        <w:t xml:space="preserve">, </w:t>
      </w:r>
      <w:r w:rsidR="000E20F0" w:rsidRPr="00D57645">
        <w:rPr>
          <w:b/>
        </w:rPr>
        <w:t>Paula Sales-Evans</w:t>
      </w:r>
    </w:p>
    <w:p w:rsidR="00397EF1" w:rsidRDefault="00397EF1" w:rsidP="00BE641E">
      <w:pPr>
        <w:pStyle w:val="BodyText"/>
        <w:spacing w:after="120"/>
        <w:ind w:left="720" w:hanging="432"/>
        <w:jc w:val="left"/>
        <w:rPr>
          <w:rFonts w:eastAsia="+mn-ea" w:cs="+mn-cs"/>
          <w:b/>
          <w:color w:val="000000"/>
          <w:kern w:val="24"/>
        </w:rPr>
      </w:pPr>
    </w:p>
    <w:p w:rsidR="00397EF1" w:rsidRDefault="00397EF1" w:rsidP="001B6322">
      <w:pPr>
        <w:pStyle w:val="BodyText"/>
        <w:spacing w:after="0"/>
        <w:ind w:left="720" w:hanging="446"/>
        <w:jc w:val="left"/>
        <w:rPr>
          <w:b/>
        </w:rPr>
      </w:pPr>
      <w:r>
        <w:t>3e</w:t>
      </w:r>
      <w:r>
        <w:tab/>
      </w:r>
      <w:r w:rsidRPr="00BE641E">
        <w:t>Encourage adoption of a law requiring periodic driver licensing tests for adults.</w:t>
      </w:r>
      <w:r w:rsidRPr="00A00D2B">
        <w:rPr>
          <w:b/>
        </w:rPr>
        <w:t xml:space="preserve"> </w:t>
      </w:r>
      <w:r w:rsidR="001B6322">
        <w:rPr>
          <w:b/>
        </w:rPr>
        <w:t xml:space="preserve"> </w:t>
      </w:r>
    </w:p>
    <w:p w:rsidR="001B6322" w:rsidRDefault="001B6322" w:rsidP="001B6322">
      <w:pPr>
        <w:pStyle w:val="BodyText"/>
        <w:spacing w:after="0"/>
        <w:ind w:left="720" w:hanging="446"/>
        <w:jc w:val="left"/>
        <w:rPr>
          <w:b/>
        </w:rPr>
      </w:pPr>
      <w:r>
        <w:rPr>
          <w:b/>
        </w:rPr>
        <w:tab/>
        <w:t xml:space="preserve">Darren McDaniel, Kara Thorpe, Major </w:t>
      </w:r>
      <w:proofErr w:type="spellStart"/>
      <w:r>
        <w:rPr>
          <w:b/>
        </w:rPr>
        <w:t>Hofheins</w:t>
      </w:r>
      <w:proofErr w:type="spellEnd"/>
      <w:r>
        <w:rPr>
          <w:b/>
        </w:rPr>
        <w:t xml:space="preserve">, Susan </w:t>
      </w:r>
      <w:proofErr w:type="spellStart"/>
      <w:r>
        <w:rPr>
          <w:b/>
        </w:rPr>
        <w:t>Herbel</w:t>
      </w:r>
      <w:proofErr w:type="spellEnd"/>
    </w:p>
    <w:p w:rsidR="001B6322" w:rsidRPr="00A00D2B" w:rsidRDefault="001B6322" w:rsidP="00397EF1">
      <w:pPr>
        <w:pStyle w:val="BodyText"/>
        <w:spacing w:after="120"/>
        <w:ind w:left="720" w:hanging="446"/>
        <w:jc w:val="left"/>
        <w:rPr>
          <w:b/>
        </w:rPr>
      </w:pPr>
    </w:p>
    <w:p w:rsidR="00397EF1" w:rsidRPr="00BE641E" w:rsidRDefault="00397EF1" w:rsidP="00BE641E">
      <w:pPr>
        <w:pStyle w:val="BodyText"/>
        <w:spacing w:after="120"/>
        <w:ind w:left="720" w:hanging="432"/>
        <w:jc w:val="left"/>
        <w:rPr>
          <w:b/>
        </w:rPr>
      </w:pPr>
    </w:p>
    <w:p w:rsidR="009E5014" w:rsidRDefault="009E5014" w:rsidP="00BE641E">
      <w:pPr>
        <w:pStyle w:val="BodyText"/>
        <w:spacing w:after="0"/>
        <w:ind w:left="720" w:hanging="432"/>
        <w:jc w:val="left"/>
      </w:pPr>
      <w:r>
        <w:t>4b</w:t>
      </w:r>
      <w:r>
        <w:tab/>
      </w:r>
      <w:r w:rsidR="00BE641E" w:rsidRPr="00BE641E">
        <w:t>Identify current and recommended strategies for improving older person mobility in urban and rural areas, fund research on ways to encourage use of mobility options other than driving (including transit and transportation network companies) by older drivers and recommend strategies for improving mobility in urban and rural areas.</w:t>
      </w:r>
    </w:p>
    <w:p w:rsidR="001B6322" w:rsidRDefault="001B6322" w:rsidP="001B6322">
      <w:pPr>
        <w:ind w:left="720"/>
        <w:jc w:val="left"/>
        <w:rPr>
          <w:b/>
        </w:rPr>
      </w:pPr>
      <w:r w:rsidRPr="00BE641E">
        <w:rPr>
          <w:b/>
        </w:rPr>
        <w:t xml:space="preserve">Debbie </w:t>
      </w:r>
      <w:proofErr w:type="spellStart"/>
      <w:r w:rsidRPr="00BE641E">
        <w:rPr>
          <w:b/>
        </w:rPr>
        <w:t>Tahiri</w:t>
      </w:r>
      <w:proofErr w:type="spellEnd"/>
      <w:r>
        <w:rPr>
          <w:b/>
        </w:rPr>
        <w:t xml:space="preserve">; Kara Thorp, </w:t>
      </w:r>
      <w:r w:rsidRPr="00D57645">
        <w:rPr>
          <w:b/>
        </w:rPr>
        <w:t xml:space="preserve">Julia Davies, Janet </w:t>
      </w:r>
      <w:proofErr w:type="spellStart"/>
      <w:r w:rsidRPr="00D57645">
        <w:rPr>
          <w:b/>
        </w:rPr>
        <w:t>Hoelscher</w:t>
      </w:r>
      <w:proofErr w:type="spellEnd"/>
      <w:r w:rsidRPr="00D57645">
        <w:rPr>
          <w:b/>
        </w:rPr>
        <w:t xml:space="preserve">, Danny </w:t>
      </w:r>
      <w:proofErr w:type="spellStart"/>
      <w:r w:rsidRPr="00D57645">
        <w:rPr>
          <w:b/>
        </w:rPr>
        <w:t>Plumer</w:t>
      </w:r>
      <w:proofErr w:type="spellEnd"/>
    </w:p>
    <w:p w:rsidR="00BE641E" w:rsidRPr="00BE641E" w:rsidRDefault="00BE641E" w:rsidP="00CB0926">
      <w:pPr>
        <w:pStyle w:val="BodyText"/>
        <w:spacing w:after="120"/>
        <w:ind w:left="720" w:hanging="432"/>
        <w:jc w:val="left"/>
        <w:rPr>
          <w:b/>
          <w:color w:val="000000"/>
        </w:rPr>
      </w:pPr>
    </w:p>
    <w:p w:rsidR="00BE641E" w:rsidRPr="00BE641E" w:rsidRDefault="00BE641E" w:rsidP="00BE641E">
      <w:pPr>
        <w:spacing w:after="120"/>
        <w:ind w:left="720" w:hanging="432"/>
        <w:jc w:val="left"/>
        <w:rPr>
          <w:color w:val="000000"/>
        </w:rPr>
      </w:pPr>
      <w:r>
        <w:rPr>
          <w:color w:val="000000"/>
        </w:rPr>
        <w:t>5b</w:t>
      </w:r>
      <w:r w:rsidR="009E5014">
        <w:rPr>
          <w:color w:val="000000"/>
        </w:rPr>
        <w:tab/>
      </w:r>
      <w:r w:rsidRPr="00BE641E">
        <w:rPr>
          <w:color w:val="000000"/>
        </w:rPr>
        <w:t>Educate older drivers on vehicle safety technologies, vehicle safety systems, and after-market products useful for reducing injuries due to traffic incidences (Pilot test providing vehicle safety system information from the My Car Does What program in one or more motor vehicle offices).</w:t>
      </w:r>
    </w:p>
    <w:p w:rsidR="00BE641E" w:rsidRPr="00BE641E" w:rsidRDefault="00BE641E" w:rsidP="00BE641E">
      <w:pPr>
        <w:ind w:left="720" w:hanging="432"/>
        <w:jc w:val="left"/>
        <w:rPr>
          <w:color w:val="000000"/>
        </w:rPr>
      </w:pPr>
      <w:r w:rsidRPr="00BE641E">
        <w:rPr>
          <w:color w:val="000000"/>
        </w:rPr>
        <w:tab/>
        <w:t xml:space="preserve">Implement </w:t>
      </w:r>
      <w:proofErr w:type="spellStart"/>
      <w:r w:rsidRPr="00BE641E">
        <w:rPr>
          <w:color w:val="000000"/>
        </w:rPr>
        <w:t>CarFit</w:t>
      </w:r>
      <w:proofErr w:type="spellEnd"/>
      <w:r w:rsidRPr="00BE641E">
        <w:rPr>
          <w:color w:val="000000"/>
        </w:rPr>
        <w:t xml:space="preserve">, an educational program that offers older adults the opportunity to check how well their personal vehicles fit them. </w:t>
      </w:r>
    </w:p>
    <w:p w:rsidR="00BE641E" w:rsidRDefault="00BE641E" w:rsidP="00BE641E">
      <w:pPr>
        <w:spacing w:after="120"/>
        <w:ind w:left="720"/>
        <w:jc w:val="left"/>
        <w:rPr>
          <w:color w:val="000000"/>
        </w:rPr>
      </w:pPr>
      <w:r w:rsidRPr="00BE641E">
        <w:rPr>
          <w:color w:val="000000"/>
        </w:rPr>
        <w:t>Identify resources and disseminate the information to increase older road user safety knowledge and awareness (AAA, AARP, Hartford Insurance, Hillcrest Medical Center caregiver-focused mature driver program, and the Fort Worth Blue Zone).</w:t>
      </w:r>
    </w:p>
    <w:p w:rsidR="00BE641E" w:rsidRDefault="00BE641E" w:rsidP="00BE641E">
      <w:pPr>
        <w:spacing w:after="120"/>
        <w:ind w:left="720"/>
        <w:jc w:val="left"/>
        <w:rPr>
          <w:color w:val="000000"/>
        </w:rPr>
      </w:pPr>
      <w:r w:rsidRPr="00BE641E">
        <w:rPr>
          <w:color w:val="000000"/>
        </w:rPr>
        <w:t>Educate and encourage medical professionals to discuss driving ability especially as it relates to post-surgery, specific medications, and general aging.</w:t>
      </w:r>
    </w:p>
    <w:p w:rsidR="009E5014" w:rsidRDefault="00BE641E" w:rsidP="00BE641E">
      <w:pPr>
        <w:ind w:left="720"/>
        <w:jc w:val="left"/>
        <w:rPr>
          <w:color w:val="000000"/>
        </w:rPr>
      </w:pPr>
      <w:r w:rsidRPr="00BE641E">
        <w:rPr>
          <w:color w:val="000000"/>
        </w:rPr>
        <w:t xml:space="preserve">Educate law enforcement on importance of, and procedures and practices, to refer drivers to the </w:t>
      </w:r>
      <w:proofErr w:type="spellStart"/>
      <w:r w:rsidRPr="00BE641E">
        <w:rPr>
          <w:color w:val="000000"/>
        </w:rPr>
        <w:t>Drivers</w:t>
      </w:r>
      <w:proofErr w:type="spellEnd"/>
      <w:r w:rsidRPr="00BE641E">
        <w:rPr>
          <w:color w:val="000000"/>
        </w:rPr>
        <w:t xml:space="preserve"> License Medical Advisory Board Video, pamphlets, pocket cards) (</w:t>
      </w:r>
      <w:proofErr w:type="spellStart"/>
      <w:r w:rsidRPr="00BE641E">
        <w:rPr>
          <w:color w:val="000000"/>
        </w:rPr>
        <w:t>TxDOT</w:t>
      </w:r>
      <w:proofErr w:type="spellEnd"/>
      <w:r w:rsidRPr="00BE641E">
        <w:rPr>
          <w:color w:val="000000"/>
        </w:rPr>
        <w:t xml:space="preserve"> outreach program)</w:t>
      </w:r>
      <w:r w:rsidR="009E5014" w:rsidRPr="009A3B9B">
        <w:rPr>
          <w:color w:val="000000"/>
        </w:rPr>
        <w:t>.</w:t>
      </w:r>
    </w:p>
    <w:p w:rsidR="00BE641E" w:rsidRDefault="00BE641E" w:rsidP="00BE641E">
      <w:pPr>
        <w:ind w:left="720"/>
        <w:jc w:val="left"/>
        <w:rPr>
          <w:b/>
        </w:rPr>
      </w:pPr>
      <w:r w:rsidRPr="00BE641E">
        <w:rPr>
          <w:b/>
        </w:rPr>
        <w:t xml:space="preserve">Debbie </w:t>
      </w:r>
      <w:proofErr w:type="spellStart"/>
      <w:r w:rsidRPr="00BE641E">
        <w:rPr>
          <w:b/>
        </w:rPr>
        <w:t>Tahiri</w:t>
      </w:r>
      <w:proofErr w:type="spellEnd"/>
      <w:r>
        <w:rPr>
          <w:b/>
        </w:rPr>
        <w:t xml:space="preserve">; Kara Thorp, Julia Davies, Janet </w:t>
      </w:r>
      <w:proofErr w:type="spellStart"/>
      <w:r>
        <w:rPr>
          <w:b/>
        </w:rPr>
        <w:t>Hoelscher</w:t>
      </w:r>
      <w:proofErr w:type="spellEnd"/>
      <w:r>
        <w:rPr>
          <w:b/>
        </w:rPr>
        <w:t xml:space="preserve">, Danny </w:t>
      </w:r>
      <w:proofErr w:type="spellStart"/>
      <w:r>
        <w:rPr>
          <w:b/>
        </w:rPr>
        <w:t>Plumer</w:t>
      </w:r>
      <w:proofErr w:type="spellEnd"/>
    </w:p>
    <w:p w:rsidR="00BE641E" w:rsidRPr="009A3B9B" w:rsidRDefault="00BE641E" w:rsidP="00BE641E">
      <w:pPr>
        <w:ind w:left="720"/>
        <w:jc w:val="left"/>
        <w:rPr>
          <w:color w:val="000000"/>
        </w:rPr>
      </w:pPr>
    </w:p>
    <w:p w:rsidR="00BE641E" w:rsidRDefault="00BE641E" w:rsidP="00BE641E">
      <w:pPr>
        <w:pStyle w:val="BodyText"/>
        <w:spacing w:after="0"/>
        <w:ind w:left="720"/>
        <w:jc w:val="left"/>
        <w:rPr>
          <w:b/>
        </w:rPr>
      </w:pPr>
    </w:p>
    <w:p w:rsidR="008A2EC1" w:rsidRPr="009A3B9B" w:rsidRDefault="003C3099" w:rsidP="009A3B9B">
      <w:pPr>
        <w:pStyle w:val="BodyText"/>
        <w:ind w:firstLine="288"/>
        <w:jc w:val="left"/>
        <w:rPr>
          <w:b/>
          <w:i/>
          <w:sz w:val="24"/>
          <w:szCs w:val="24"/>
        </w:rPr>
      </w:pPr>
      <w:r w:rsidRPr="009A3B9B">
        <w:rPr>
          <w:b/>
          <w:i/>
          <w:sz w:val="24"/>
          <w:szCs w:val="24"/>
        </w:rPr>
        <w:t>Next Steps</w:t>
      </w:r>
    </w:p>
    <w:p w:rsidR="00CE0A06" w:rsidRDefault="001B6322" w:rsidP="00624F1F">
      <w:pPr>
        <w:pStyle w:val="BodyText"/>
        <w:numPr>
          <w:ilvl w:val="0"/>
          <w:numId w:val="35"/>
        </w:numPr>
        <w:ind w:left="1530" w:hanging="450"/>
      </w:pPr>
      <w:r>
        <w:t>Complete and revise action plans drafts</w:t>
      </w:r>
    </w:p>
    <w:p w:rsidR="00F97E1A" w:rsidRPr="00F97E1A" w:rsidRDefault="00F60939" w:rsidP="00F97E1A">
      <w:pPr>
        <w:pStyle w:val="Heading3"/>
      </w:pPr>
      <w:r>
        <w:t xml:space="preserve">Upcoming Meeting Dates </w:t>
      </w:r>
    </w:p>
    <w:p w:rsidR="00624F1F" w:rsidRDefault="00624F1F" w:rsidP="0004308C">
      <w:pPr>
        <w:pStyle w:val="BodyText"/>
        <w:numPr>
          <w:ilvl w:val="0"/>
          <w:numId w:val="15"/>
        </w:numPr>
        <w:ind w:left="1440"/>
      </w:pPr>
      <w:r>
        <w:t xml:space="preserve">Round 3 EA team meeting: </w:t>
      </w:r>
      <w:bookmarkStart w:id="0" w:name="_GoBack"/>
      <w:bookmarkEnd w:id="0"/>
      <w:r w:rsidR="001D2321">
        <w:t>March 7, 2018</w:t>
      </w:r>
    </w:p>
    <w:p w:rsidR="009E5014" w:rsidRDefault="009E5014" w:rsidP="0004308C">
      <w:pPr>
        <w:pStyle w:val="BodyText"/>
        <w:numPr>
          <w:ilvl w:val="0"/>
          <w:numId w:val="15"/>
        </w:numPr>
        <w:ind w:left="1440"/>
      </w:pPr>
      <w:r>
        <w:t>May – Regional workshops in Houston, San Antonio, Dallas-Fort Worth and Midland-Odessa</w:t>
      </w:r>
    </w:p>
    <w:p w:rsidR="009E5014" w:rsidRDefault="009E5014" w:rsidP="0004308C">
      <w:pPr>
        <w:pStyle w:val="BodyText"/>
        <w:numPr>
          <w:ilvl w:val="0"/>
          <w:numId w:val="15"/>
        </w:numPr>
        <w:ind w:left="1440"/>
      </w:pPr>
      <w:r>
        <w:t>August 8-10, 2018 – Traffic Safety Conference, Sugarland</w:t>
      </w:r>
    </w:p>
    <w:p w:rsidR="00687AE4" w:rsidRPr="00687AE4" w:rsidRDefault="00687AE4" w:rsidP="002C3C1F">
      <w:pPr>
        <w:pStyle w:val="BodyText"/>
      </w:pPr>
    </w:p>
    <w:sectPr w:rsidR="00687AE4" w:rsidRPr="00687AE4" w:rsidSect="00D33D7E">
      <w:footerReference w:type="default" r:id="rId8"/>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076" w:rsidRDefault="00054076" w:rsidP="00D33D7E">
      <w:r>
        <w:separator/>
      </w:r>
    </w:p>
  </w:endnote>
  <w:endnote w:type="continuationSeparator" w:id="0">
    <w:p w:rsidR="00054076" w:rsidRDefault="00054076" w:rsidP="00D3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87703"/>
      <w:docPartObj>
        <w:docPartGallery w:val="Page Numbers (Bottom of Page)"/>
        <w:docPartUnique/>
      </w:docPartObj>
    </w:sdtPr>
    <w:sdtEndPr>
      <w:rPr>
        <w:color w:val="7F7F7F" w:themeColor="background1" w:themeShade="7F"/>
        <w:spacing w:val="60"/>
      </w:rPr>
    </w:sdtEndPr>
    <w:sdtContent>
      <w:p w:rsidR="003C30C5" w:rsidRDefault="003C30C5" w:rsidP="002C3C1F">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1D2321" w:rsidRPr="001D2321">
          <w:rPr>
            <w:b/>
            <w:bCs/>
            <w:noProof/>
          </w:rPr>
          <w:t>4</w:t>
        </w:r>
        <w:r>
          <w:rPr>
            <w:b/>
            <w:bCs/>
            <w:noProof/>
          </w:rPr>
          <w:fldChar w:fldCharType="end"/>
        </w:r>
        <w:r>
          <w:rPr>
            <w:b/>
            <w:bCs/>
          </w:rPr>
          <w:t xml:space="preserve"> | </w:t>
        </w:r>
        <w:r>
          <w:rPr>
            <w:color w:val="7F7F7F" w:themeColor="background1" w:themeShade="7F"/>
            <w:spacing w:val="60"/>
          </w:rPr>
          <w:t>Page</w:t>
        </w:r>
      </w:p>
    </w:sdtContent>
  </w:sdt>
  <w:p w:rsidR="00507F2A" w:rsidRDefault="00507F2A" w:rsidP="00D33D7E">
    <w:pPr>
      <w:pStyle w:val="Footer"/>
      <w:tabs>
        <w:tab w:val="clear" w:pos="4680"/>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076" w:rsidRDefault="00054076" w:rsidP="00D33D7E">
      <w:r>
        <w:separator/>
      </w:r>
    </w:p>
  </w:footnote>
  <w:footnote w:type="continuationSeparator" w:id="0">
    <w:p w:rsidR="00054076" w:rsidRDefault="00054076" w:rsidP="00D33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1878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460EE"/>
    <w:multiLevelType w:val="hybridMultilevel"/>
    <w:tmpl w:val="EB1A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36FB4"/>
    <w:multiLevelType w:val="hybridMultilevel"/>
    <w:tmpl w:val="2A9E45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0A2363"/>
    <w:multiLevelType w:val="hybridMultilevel"/>
    <w:tmpl w:val="7BA8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B1DDD"/>
    <w:multiLevelType w:val="hybridMultilevel"/>
    <w:tmpl w:val="C79C2388"/>
    <w:lvl w:ilvl="0" w:tplc="7DEE98A4">
      <w:start w:val="1"/>
      <w:numFmt w:val="bullet"/>
      <w:lvlText w:val="•"/>
      <w:lvlJc w:val="left"/>
      <w:pPr>
        <w:tabs>
          <w:tab w:val="num" w:pos="720"/>
        </w:tabs>
        <w:ind w:left="720" w:hanging="360"/>
      </w:pPr>
      <w:rPr>
        <w:rFonts w:ascii="Arial" w:hAnsi="Arial" w:hint="default"/>
      </w:rPr>
    </w:lvl>
    <w:lvl w:ilvl="1" w:tplc="34E0E024" w:tentative="1">
      <w:start w:val="1"/>
      <w:numFmt w:val="bullet"/>
      <w:lvlText w:val="•"/>
      <w:lvlJc w:val="left"/>
      <w:pPr>
        <w:tabs>
          <w:tab w:val="num" w:pos="1440"/>
        </w:tabs>
        <w:ind w:left="1440" w:hanging="360"/>
      </w:pPr>
      <w:rPr>
        <w:rFonts w:ascii="Arial" w:hAnsi="Arial" w:hint="default"/>
      </w:rPr>
    </w:lvl>
    <w:lvl w:ilvl="2" w:tplc="63309EE0" w:tentative="1">
      <w:start w:val="1"/>
      <w:numFmt w:val="bullet"/>
      <w:lvlText w:val="•"/>
      <w:lvlJc w:val="left"/>
      <w:pPr>
        <w:tabs>
          <w:tab w:val="num" w:pos="2160"/>
        </w:tabs>
        <w:ind w:left="2160" w:hanging="360"/>
      </w:pPr>
      <w:rPr>
        <w:rFonts w:ascii="Arial" w:hAnsi="Arial" w:hint="default"/>
      </w:rPr>
    </w:lvl>
    <w:lvl w:ilvl="3" w:tplc="830CEF1A" w:tentative="1">
      <w:start w:val="1"/>
      <w:numFmt w:val="bullet"/>
      <w:lvlText w:val="•"/>
      <w:lvlJc w:val="left"/>
      <w:pPr>
        <w:tabs>
          <w:tab w:val="num" w:pos="2880"/>
        </w:tabs>
        <w:ind w:left="2880" w:hanging="360"/>
      </w:pPr>
      <w:rPr>
        <w:rFonts w:ascii="Arial" w:hAnsi="Arial" w:hint="default"/>
      </w:rPr>
    </w:lvl>
    <w:lvl w:ilvl="4" w:tplc="6070008E" w:tentative="1">
      <w:start w:val="1"/>
      <w:numFmt w:val="bullet"/>
      <w:lvlText w:val="•"/>
      <w:lvlJc w:val="left"/>
      <w:pPr>
        <w:tabs>
          <w:tab w:val="num" w:pos="3600"/>
        </w:tabs>
        <w:ind w:left="3600" w:hanging="360"/>
      </w:pPr>
      <w:rPr>
        <w:rFonts w:ascii="Arial" w:hAnsi="Arial" w:hint="default"/>
      </w:rPr>
    </w:lvl>
    <w:lvl w:ilvl="5" w:tplc="B0F8ACD2" w:tentative="1">
      <w:start w:val="1"/>
      <w:numFmt w:val="bullet"/>
      <w:lvlText w:val="•"/>
      <w:lvlJc w:val="left"/>
      <w:pPr>
        <w:tabs>
          <w:tab w:val="num" w:pos="4320"/>
        </w:tabs>
        <w:ind w:left="4320" w:hanging="360"/>
      </w:pPr>
      <w:rPr>
        <w:rFonts w:ascii="Arial" w:hAnsi="Arial" w:hint="default"/>
      </w:rPr>
    </w:lvl>
    <w:lvl w:ilvl="6" w:tplc="880CD6C0" w:tentative="1">
      <w:start w:val="1"/>
      <w:numFmt w:val="bullet"/>
      <w:lvlText w:val="•"/>
      <w:lvlJc w:val="left"/>
      <w:pPr>
        <w:tabs>
          <w:tab w:val="num" w:pos="5040"/>
        </w:tabs>
        <w:ind w:left="5040" w:hanging="360"/>
      </w:pPr>
      <w:rPr>
        <w:rFonts w:ascii="Arial" w:hAnsi="Arial" w:hint="default"/>
      </w:rPr>
    </w:lvl>
    <w:lvl w:ilvl="7" w:tplc="4578654A" w:tentative="1">
      <w:start w:val="1"/>
      <w:numFmt w:val="bullet"/>
      <w:lvlText w:val="•"/>
      <w:lvlJc w:val="left"/>
      <w:pPr>
        <w:tabs>
          <w:tab w:val="num" w:pos="5760"/>
        </w:tabs>
        <w:ind w:left="5760" w:hanging="360"/>
      </w:pPr>
      <w:rPr>
        <w:rFonts w:ascii="Arial" w:hAnsi="Arial" w:hint="default"/>
      </w:rPr>
    </w:lvl>
    <w:lvl w:ilvl="8" w:tplc="59E083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71524F"/>
    <w:multiLevelType w:val="hybridMultilevel"/>
    <w:tmpl w:val="BD1A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55E6A"/>
    <w:multiLevelType w:val="hybridMultilevel"/>
    <w:tmpl w:val="BA9EE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95F1D"/>
    <w:multiLevelType w:val="hybridMultilevel"/>
    <w:tmpl w:val="3DD0C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7047E"/>
    <w:multiLevelType w:val="hybridMultilevel"/>
    <w:tmpl w:val="E7D694F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23134D30"/>
    <w:multiLevelType w:val="hybridMultilevel"/>
    <w:tmpl w:val="D4E0447E"/>
    <w:lvl w:ilvl="0" w:tplc="F80A6378">
      <w:start w:val="1"/>
      <w:numFmt w:val="bullet"/>
      <w:lvlText w:val="•"/>
      <w:lvlJc w:val="left"/>
      <w:pPr>
        <w:tabs>
          <w:tab w:val="num" w:pos="720"/>
        </w:tabs>
        <w:ind w:left="720" w:hanging="360"/>
      </w:pPr>
      <w:rPr>
        <w:rFonts w:ascii="Arial" w:hAnsi="Arial" w:hint="default"/>
      </w:rPr>
    </w:lvl>
    <w:lvl w:ilvl="1" w:tplc="6772DECE" w:tentative="1">
      <w:start w:val="1"/>
      <w:numFmt w:val="bullet"/>
      <w:lvlText w:val="•"/>
      <w:lvlJc w:val="left"/>
      <w:pPr>
        <w:tabs>
          <w:tab w:val="num" w:pos="1440"/>
        </w:tabs>
        <w:ind w:left="1440" w:hanging="360"/>
      </w:pPr>
      <w:rPr>
        <w:rFonts w:ascii="Arial" w:hAnsi="Arial" w:hint="default"/>
      </w:rPr>
    </w:lvl>
    <w:lvl w:ilvl="2" w:tplc="421ED484" w:tentative="1">
      <w:start w:val="1"/>
      <w:numFmt w:val="bullet"/>
      <w:lvlText w:val="•"/>
      <w:lvlJc w:val="left"/>
      <w:pPr>
        <w:tabs>
          <w:tab w:val="num" w:pos="2160"/>
        </w:tabs>
        <w:ind w:left="2160" w:hanging="360"/>
      </w:pPr>
      <w:rPr>
        <w:rFonts w:ascii="Arial" w:hAnsi="Arial" w:hint="default"/>
      </w:rPr>
    </w:lvl>
    <w:lvl w:ilvl="3" w:tplc="44F83132" w:tentative="1">
      <w:start w:val="1"/>
      <w:numFmt w:val="bullet"/>
      <w:lvlText w:val="•"/>
      <w:lvlJc w:val="left"/>
      <w:pPr>
        <w:tabs>
          <w:tab w:val="num" w:pos="2880"/>
        </w:tabs>
        <w:ind w:left="2880" w:hanging="360"/>
      </w:pPr>
      <w:rPr>
        <w:rFonts w:ascii="Arial" w:hAnsi="Arial" w:hint="default"/>
      </w:rPr>
    </w:lvl>
    <w:lvl w:ilvl="4" w:tplc="C908D5DC" w:tentative="1">
      <w:start w:val="1"/>
      <w:numFmt w:val="bullet"/>
      <w:lvlText w:val="•"/>
      <w:lvlJc w:val="left"/>
      <w:pPr>
        <w:tabs>
          <w:tab w:val="num" w:pos="3600"/>
        </w:tabs>
        <w:ind w:left="3600" w:hanging="360"/>
      </w:pPr>
      <w:rPr>
        <w:rFonts w:ascii="Arial" w:hAnsi="Arial" w:hint="default"/>
      </w:rPr>
    </w:lvl>
    <w:lvl w:ilvl="5" w:tplc="E7E82ED8" w:tentative="1">
      <w:start w:val="1"/>
      <w:numFmt w:val="bullet"/>
      <w:lvlText w:val="•"/>
      <w:lvlJc w:val="left"/>
      <w:pPr>
        <w:tabs>
          <w:tab w:val="num" w:pos="4320"/>
        </w:tabs>
        <w:ind w:left="4320" w:hanging="360"/>
      </w:pPr>
      <w:rPr>
        <w:rFonts w:ascii="Arial" w:hAnsi="Arial" w:hint="default"/>
      </w:rPr>
    </w:lvl>
    <w:lvl w:ilvl="6" w:tplc="927638C4" w:tentative="1">
      <w:start w:val="1"/>
      <w:numFmt w:val="bullet"/>
      <w:lvlText w:val="•"/>
      <w:lvlJc w:val="left"/>
      <w:pPr>
        <w:tabs>
          <w:tab w:val="num" w:pos="5040"/>
        </w:tabs>
        <w:ind w:left="5040" w:hanging="360"/>
      </w:pPr>
      <w:rPr>
        <w:rFonts w:ascii="Arial" w:hAnsi="Arial" w:hint="default"/>
      </w:rPr>
    </w:lvl>
    <w:lvl w:ilvl="7" w:tplc="07AE18CC" w:tentative="1">
      <w:start w:val="1"/>
      <w:numFmt w:val="bullet"/>
      <w:lvlText w:val="•"/>
      <w:lvlJc w:val="left"/>
      <w:pPr>
        <w:tabs>
          <w:tab w:val="num" w:pos="5760"/>
        </w:tabs>
        <w:ind w:left="5760" w:hanging="360"/>
      </w:pPr>
      <w:rPr>
        <w:rFonts w:ascii="Arial" w:hAnsi="Arial" w:hint="default"/>
      </w:rPr>
    </w:lvl>
    <w:lvl w:ilvl="8" w:tplc="C25600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F1732D"/>
    <w:multiLevelType w:val="hybridMultilevel"/>
    <w:tmpl w:val="CDCC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42A9A"/>
    <w:multiLevelType w:val="hybridMultilevel"/>
    <w:tmpl w:val="B04AB338"/>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2" w15:restartNumberingAfterBreak="0">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39536C2F"/>
    <w:multiLevelType w:val="hybridMultilevel"/>
    <w:tmpl w:val="ED04676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C5F4BA0"/>
    <w:multiLevelType w:val="hybridMultilevel"/>
    <w:tmpl w:val="101C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E2494"/>
    <w:multiLevelType w:val="hybridMultilevel"/>
    <w:tmpl w:val="0A4A0B6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3E1B54CB"/>
    <w:multiLevelType w:val="hybridMultilevel"/>
    <w:tmpl w:val="A210CA4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1505EB3"/>
    <w:multiLevelType w:val="hybridMultilevel"/>
    <w:tmpl w:val="904AEF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1FD4A27"/>
    <w:multiLevelType w:val="hybridMultilevel"/>
    <w:tmpl w:val="19AE7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A47D1F"/>
    <w:multiLevelType w:val="hybridMultilevel"/>
    <w:tmpl w:val="B0BA41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736683"/>
    <w:multiLevelType w:val="hybridMultilevel"/>
    <w:tmpl w:val="F79E0834"/>
    <w:lvl w:ilvl="0" w:tplc="ED7660B6">
      <w:start w:val="4"/>
      <w:numFmt w:val="bullet"/>
      <w:lvlText w:val=""/>
      <w:lvlJc w:val="left"/>
      <w:pPr>
        <w:ind w:left="1620" w:hanging="360"/>
      </w:pPr>
      <w:rPr>
        <w:rFonts w:ascii="Symbol" w:eastAsiaTheme="minorHAnsi" w:hAnsi="Symbol" w:cs="Franklin Gothic Book"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50023023"/>
    <w:multiLevelType w:val="hybridMultilevel"/>
    <w:tmpl w:val="E5B60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06D2EF8"/>
    <w:multiLevelType w:val="singleLevel"/>
    <w:tmpl w:val="6ED0A116"/>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51880CD8"/>
    <w:multiLevelType w:val="hybridMultilevel"/>
    <w:tmpl w:val="C8C4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C0578"/>
    <w:multiLevelType w:val="hybridMultilevel"/>
    <w:tmpl w:val="0F20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B613A"/>
    <w:multiLevelType w:val="hybridMultilevel"/>
    <w:tmpl w:val="34E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C5283"/>
    <w:multiLevelType w:val="hybridMultilevel"/>
    <w:tmpl w:val="0098387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EA063AB"/>
    <w:multiLevelType w:val="hybridMultilevel"/>
    <w:tmpl w:val="E9F0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16D08"/>
    <w:multiLevelType w:val="singleLevel"/>
    <w:tmpl w:val="9E98C5BC"/>
    <w:lvl w:ilvl="0">
      <w:start w:val="1"/>
      <w:numFmt w:val="bullet"/>
      <w:pStyle w:val="ListDash"/>
      <w:lvlText w:val="-"/>
      <w:lvlJc w:val="left"/>
      <w:pPr>
        <w:tabs>
          <w:tab w:val="num" w:pos="720"/>
        </w:tabs>
        <w:ind w:left="720" w:hanging="360"/>
      </w:pPr>
      <w:rPr>
        <w:rFonts w:ascii="Courier New" w:hAnsi="Courier New" w:hint="default"/>
      </w:rPr>
    </w:lvl>
  </w:abstractNum>
  <w:abstractNum w:abstractNumId="29" w15:restartNumberingAfterBreak="0">
    <w:nsid w:val="706A64EA"/>
    <w:multiLevelType w:val="hybridMultilevel"/>
    <w:tmpl w:val="5928C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3F6B63"/>
    <w:multiLevelType w:val="hybridMultilevel"/>
    <w:tmpl w:val="BB22A3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E8F14BE"/>
    <w:multiLevelType w:val="hybridMultilevel"/>
    <w:tmpl w:val="8E90B4AA"/>
    <w:lvl w:ilvl="0" w:tplc="E5021F9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F651B79"/>
    <w:multiLevelType w:val="hybridMultilevel"/>
    <w:tmpl w:val="6734A4E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7FA23CC3"/>
    <w:multiLevelType w:val="hybridMultilevel"/>
    <w:tmpl w:val="A2F62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22"/>
  </w:num>
  <w:num w:numId="4">
    <w:abstractNumId w:val="28"/>
  </w:num>
  <w:num w:numId="5">
    <w:abstractNumId w:val="22"/>
  </w:num>
  <w:num w:numId="6">
    <w:abstractNumId w:val="12"/>
  </w:num>
  <w:num w:numId="7">
    <w:abstractNumId w:val="28"/>
  </w:num>
  <w:num w:numId="8">
    <w:abstractNumId w:val="28"/>
  </w:num>
  <w:num w:numId="9">
    <w:abstractNumId w:val="4"/>
  </w:num>
  <w:num w:numId="10">
    <w:abstractNumId w:val="11"/>
  </w:num>
  <w:num w:numId="11">
    <w:abstractNumId w:val="15"/>
  </w:num>
  <w:num w:numId="12">
    <w:abstractNumId w:val="8"/>
  </w:num>
  <w:num w:numId="13">
    <w:abstractNumId w:val="3"/>
  </w:num>
  <w:num w:numId="14">
    <w:abstractNumId w:val="23"/>
  </w:num>
  <w:num w:numId="15">
    <w:abstractNumId w:val="10"/>
  </w:num>
  <w:num w:numId="16">
    <w:abstractNumId w:val="29"/>
  </w:num>
  <w:num w:numId="17">
    <w:abstractNumId w:val="18"/>
  </w:num>
  <w:num w:numId="18">
    <w:abstractNumId w:val="9"/>
  </w:num>
  <w:num w:numId="19">
    <w:abstractNumId w:val="6"/>
  </w:num>
  <w:num w:numId="20">
    <w:abstractNumId w:val="2"/>
  </w:num>
  <w:num w:numId="21">
    <w:abstractNumId w:val="30"/>
  </w:num>
  <w:num w:numId="22">
    <w:abstractNumId w:val="17"/>
  </w:num>
  <w:num w:numId="23">
    <w:abstractNumId w:val="16"/>
  </w:num>
  <w:num w:numId="24">
    <w:abstractNumId w:val="27"/>
  </w:num>
  <w:num w:numId="25">
    <w:abstractNumId w:val="32"/>
  </w:num>
  <w:num w:numId="26">
    <w:abstractNumId w:val="24"/>
  </w:num>
  <w:num w:numId="27">
    <w:abstractNumId w:val="7"/>
  </w:num>
  <w:num w:numId="28">
    <w:abstractNumId w:val="5"/>
  </w:num>
  <w:num w:numId="29">
    <w:abstractNumId w:val="33"/>
  </w:num>
  <w:num w:numId="30">
    <w:abstractNumId w:val="26"/>
  </w:num>
  <w:num w:numId="31">
    <w:abstractNumId w:val="19"/>
  </w:num>
  <w:num w:numId="32">
    <w:abstractNumId w:val="13"/>
  </w:num>
  <w:num w:numId="33">
    <w:abstractNumId w:val="1"/>
  </w:num>
  <w:num w:numId="34">
    <w:abstractNumId w:val="14"/>
  </w:num>
  <w:num w:numId="35">
    <w:abstractNumId w:val="2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B6"/>
    <w:rsid w:val="00004565"/>
    <w:rsid w:val="000105CE"/>
    <w:rsid w:val="00010B5C"/>
    <w:rsid w:val="000270CF"/>
    <w:rsid w:val="0004308C"/>
    <w:rsid w:val="00054076"/>
    <w:rsid w:val="00057114"/>
    <w:rsid w:val="0007398E"/>
    <w:rsid w:val="00082063"/>
    <w:rsid w:val="00084118"/>
    <w:rsid w:val="000919F0"/>
    <w:rsid w:val="00092834"/>
    <w:rsid w:val="000B009A"/>
    <w:rsid w:val="000D1669"/>
    <w:rsid w:val="000D711E"/>
    <w:rsid w:val="000E20F0"/>
    <w:rsid w:val="000E3DDF"/>
    <w:rsid w:val="000E5B42"/>
    <w:rsid w:val="000E6835"/>
    <w:rsid w:val="000E739B"/>
    <w:rsid w:val="000F2000"/>
    <w:rsid w:val="000F7DFB"/>
    <w:rsid w:val="001160F1"/>
    <w:rsid w:val="00122586"/>
    <w:rsid w:val="00124850"/>
    <w:rsid w:val="00127170"/>
    <w:rsid w:val="00147C03"/>
    <w:rsid w:val="00151B5A"/>
    <w:rsid w:val="0016086D"/>
    <w:rsid w:val="001828B0"/>
    <w:rsid w:val="001830FF"/>
    <w:rsid w:val="001A0F44"/>
    <w:rsid w:val="001A6482"/>
    <w:rsid w:val="001B6322"/>
    <w:rsid w:val="001C09DF"/>
    <w:rsid w:val="001C25A8"/>
    <w:rsid w:val="001D1915"/>
    <w:rsid w:val="001D2321"/>
    <w:rsid w:val="001E39ED"/>
    <w:rsid w:val="001E3CE0"/>
    <w:rsid w:val="001E770B"/>
    <w:rsid w:val="001E7CD4"/>
    <w:rsid w:val="001F1D86"/>
    <w:rsid w:val="001F4A8C"/>
    <w:rsid w:val="001F5B4A"/>
    <w:rsid w:val="002177CE"/>
    <w:rsid w:val="0022025A"/>
    <w:rsid w:val="00222872"/>
    <w:rsid w:val="00227963"/>
    <w:rsid w:val="002446D6"/>
    <w:rsid w:val="0025799B"/>
    <w:rsid w:val="00261432"/>
    <w:rsid w:val="00263AB4"/>
    <w:rsid w:val="00295DD8"/>
    <w:rsid w:val="002A2E8B"/>
    <w:rsid w:val="002B1C29"/>
    <w:rsid w:val="002B37C5"/>
    <w:rsid w:val="002B5BF7"/>
    <w:rsid w:val="002C3C1F"/>
    <w:rsid w:val="002C4B06"/>
    <w:rsid w:val="002E310C"/>
    <w:rsid w:val="002E42ED"/>
    <w:rsid w:val="002F2F9F"/>
    <w:rsid w:val="00320BA1"/>
    <w:rsid w:val="00331C01"/>
    <w:rsid w:val="0033664A"/>
    <w:rsid w:val="00344810"/>
    <w:rsid w:val="0035252F"/>
    <w:rsid w:val="0035298F"/>
    <w:rsid w:val="00362260"/>
    <w:rsid w:val="0038545D"/>
    <w:rsid w:val="00397EF1"/>
    <w:rsid w:val="003C3099"/>
    <w:rsid w:val="003C30C5"/>
    <w:rsid w:val="003C6525"/>
    <w:rsid w:val="003E1BA4"/>
    <w:rsid w:val="003E28B6"/>
    <w:rsid w:val="003F651C"/>
    <w:rsid w:val="003F6AF5"/>
    <w:rsid w:val="004064BD"/>
    <w:rsid w:val="00413A9A"/>
    <w:rsid w:val="00421882"/>
    <w:rsid w:val="00422ABE"/>
    <w:rsid w:val="00427431"/>
    <w:rsid w:val="0043184B"/>
    <w:rsid w:val="004344B9"/>
    <w:rsid w:val="00441636"/>
    <w:rsid w:val="004445CB"/>
    <w:rsid w:val="00457BE5"/>
    <w:rsid w:val="00457D54"/>
    <w:rsid w:val="00475C5D"/>
    <w:rsid w:val="00487386"/>
    <w:rsid w:val="004A3656"/>
    <w:rsid w:val="004A37CF"/>
    <w:rsid w:val="004A5765"/>
    <w:rsid w:val="004B3236"/>
    <w:rsid w:val="004B502E"/>
    <w:rsid w:val="004B615E"/>
    <w:rsid w:val="004B64E2"/>
    <w:rsid w:val="004D1327"/>
    <w:rsid w:val="004D37AE"/>
    <w:rsid w:val="004E01E0"/>
    <w:rsid w:val="004E746C"/>
    <w:rsid w:val="004F1171"/>
    <w:rsid w:val="004F36E3"/>
    <w:rsid w:val="00504986"/>
    <w:rsid w:val="00507F2A"/>
    <w:rsid w:val="00510232"/>
    <w:rsid w:val="005321B4"/>
    <w:rsid w:val="00534D77"/>
    <w:rsid w:val="00543E69"/>
    <w:rsid w:val="00553B65"/>
    <w:rsid w:val="00557585"/>
    <w:rsid w:val="00563512"/>
    <w:rsid w:val="00565346"/>
    <w:rsid w:val="00572830"/>
    <w:rsid w:val="0058203C"/>
    <w:rsid w:val="00583EB5"/>
    <w:rsid w:val="00584042"/>
    <w:rsid w:val="005852E7"/>
    <w:rsid w:val="00587397"/>
    <w:rsid w:val="005B21B8"/>
    <w:rsid w:val="005B5B8C"/>
    <w:rsid w:val="005C1E07"/>
    <w:rsid w:val="005C78DF"/>
    <w:rsid w:val="005D0983"/>
    <w:rsid w:val="005D4CB9"/>
    <w:rsid w:val="005E2FE4"/>
    <w:rsid w:val="005F1037"/>
    <w:rsid w:val="006201A6"/>
    <w:rsid w:val="00624F1F"/>
    <w:rsid w:val="00651737"/>
    <w:rsid w:val="006865C9"/>
    <w:rsid w:val="00687AE4"/>
    <w:rsid w:val="006952B2"/>
    <w:rsid w:val="006A65A0"/>
    <w:rsid w:val="006A695C"/>
    <w:rsid w:val="006B5960"/>
    <w:rsid w:val="006C0BE1"/>
    <w:rsid w:val="006C17DD"/>
    <w:rsid w:val="006C6EBF"/>
    <w:rsid w:val="006C7CE6"/>
    <w:rsid w:val="006D155D"/>
    <w:rsid w:val="006D2C8E"/>
    <w:rsid w:val="006D7EAC"/>
    <w:rsid w:val="006E5CA9"/>
    <w:rsid w:val="006E66C4"/>
    <w:rsid w:val="006F78E8"/>
    <w:rsid w:val="00731A0B"/>
    <w:rsid w:val="00741E07"/>
    <w:rsid w:val="00747891"/>
    <w:rsid w:val="00754352"/>
    <w:rsid w:val="00762A0D"/>
    <w:rsid w:val="007773BA"/>
    <w:rsid w:val="00797BAB"/>
    <w:rsid w:val="007A3173"/>
    <w:rsid w:val="007C0514"/>
    <w:rsid w:val="007C5FBB"/>
    <w:rsid w:val="007C766C"/>
    <w:rsid w:val="007E03D8"/>
    <w:rsid w:val="007F68CB"/>
    <w:rsid w:val="00804DFB"/>
    <w:rsid w:val="00807843"/>
    <w:rsid w:val="00826A36"/>
    <w:rsid w:val="00845B95"/>
    <w:rsid w:val="00853C12"/>
    <w:rsid w:val="00853D1C"/>
    <w:rsid w:val="00861187"/>
    <w:rsid w:val="008670F7"/>
    <w:rsid w:val="0088170B"/>
    <w:rsid w:val="008A2EC1"/>
    <w:rsid w:val="008A3C29"/>
    <w:rsid w:val="008C3052"/>
    <w:rsid w:val="008D2925"/>
    <w:rsid w:val="008D2C3A"/>
    <w:rsid w:val="008E0FC7"/>
    <w:rsid w:val="008F2D69"/>
    <w:rsid w:val="00900B2D"/>
    <w:rsid w:val="00933E42"/>
    <w:rsid w:val="009413F5"/>
    <w:rsid w:val="0094496E"/>
    <w:rsid w:val="009507AD"/>
    <w:rsid w:val="00954705"/>
    <w:rsid w:val="00955387"/>
    <w:rsid w:val="00973FCF"/>
    <w:rsid w:val="00980D51"/>
    <w:rsid w:val="00992BBB"/>
    <w:rsid w:val="009A0AA1"/>
    <w:rsid w:val="009A3B9B"/>
    <w:rsid w:val="009A3D37"/>
    <w:rsid w:val="009A5DA4"/>
    <w:rsid w:val="009B3F72"/>
    <w:rsid w:val="009B63D8"/>
    <w:rsid w:val="009E2320"/>
    <w:rsid w:val="009E5014"/>
    <w:rsid w:val="009E5EEE"/>
    <w:rsid w:val="009F20D3"/>
    <w:rsid w:val="009F5382"/>
    <w:rsid w:val="009F77AF"/>
    <w:rsid w:val="009F77C9"/>
    <w:rsid w:val="00A00741"/>
    <w:rsid w:val="00A00D2B"/>
    <w:rsid w:val="00A03854"/>
    <w:rsid w:val="00A0655B"/>
    <w:rsid w:val="00A0678D"/>
    <w:rsid w:val="00A14835"/>
    <w:rsid w:val="00A1604F"/>
    <w:rsid w:val="00A404EC"/>
    <w:rsid w:val="00A56F9B"/>
    <w:rsid w:val="00A617B6"/>
    <w:rsid w:val="00A620E1"/>
    <w:rsid w:val="00A764CD"/>
    <w:rsid w:val="00AA3EC6"/>
    <w:rsid w:val="00AB2B45"/>
    <w:rsid w:val="00AC06C3"/>
    <w:rsid w:val="00AC120B"/>
    <w:rsid w:val="00AC7B07"/>
    <w:rsid w:val="00AE1E43"/>
    <w:rsid w:val="00AF5C2F"/>
    <w:rsid w:val="00AF671F"/>
    <w:rsid w:val="00B03990"/>
    <w:rsid w:val="00B15079"/>
    <w:rsid w:val="00B16CA6"/>
    <w:rsid w:val="00B20C2E"/>
    <w:rsid w:val="00B30BDE"/>
    <w:rsid w:val="00B31113"/>
    <w:rsid w:val="00B311C7"/>
    <w:rsid w:val="00B36DE5"/>
    <w:rsid w:val="00B41ABF"/>
    <w:rsid w:val="00B4226E"/>
    <w:rsid w:val="00B50240"/>
    <w:rsid w:val="00B56BB6"/>
    <w:rsid w:val="00B81137"/>
    <w:rsid w:val="00B81236"/>
    <w:rsid w:val="00B868B5"/>
    <w:rsid w:val="00BA04F2"/>
    <w:rsid w:val="00BE1AC4"/>
    <w:rsid w:val="00BE352D"/>
    <w:rsid w:val="00BE4231"/>
    <w:rsid w:val="00BE641E"/>
    <w:rsid w:val="00C129D4"/>
    <w:rsid w:val="00C22C47"/>
    <w:rsid w:val="00C348C9"/>
    <w:rsid w:val="00C448F5"/>
    <w:rsid w:val="00C54BFB"/>
    <w:rsid w:val="00C63679"/>
    <w:rsid w:val="00C73455"/>
    <w:rsid w:val="00C8389D"/>
    <w:rsid w:val="00C95BE8"/>
    <w:rsid w:val="00C9693A"/>
    <w:rsid w:val="00CA5B95"/>
    <w:rsid w:val="00CB0926"/>
    <w:rsid w:val="00CD4933"/>
    <w:rsid w:val="00CD61CD"/>
    <w:rsid w:val="00CD729E"/>
    <w:rsid w:val="00CE0A06"/>
    <w:rsid w:val="00D20CA0"/>
    <w:rsid w:val="00D27991"/>
    <w:rsid w:val="00D333C3"/>
    <w:rsid w:val="00D33943"/>
    <w:rsid w:val="00D33D7E"/>
    <w:rsid w:val="00D35704"/>
    <w:rsid w:val="00D42CF7"/>
    <w:rsid w:val="00D52E66"/>
    <w:rsid w:val="00D57645"/>
    <w:rsid w:val="00D64E50"/>
    <w:rsid w:val="00D71E4B"/>
    <w:rsid w:val="00DA42FE"/>
    <w:rsid w:val="00DB241E"/>
    <w:rsid w:val="00DB2DE5"/>
    <w:rsid w:val="00DC1543"/>
    <w:rsid w:val="00DC3BB0"/>
    <w:rsid w:val="00DC3EEE"/>
    <w:rsid w:val="00DE2095"/>
    <w:rsid w:val="00DF0C30"/>
    <w:rsid w:val="00DF251A"/>
    <w:rsid w:val="00DF5B02"/>
    <w:rsid w:val="00DF6455"/>
    <w:rsid w:val="00E0307D"/>
    <w:rsid w:val="00E04F00"/>
    <w:rsid w:val="00E1466A"/>
    <w:rsid w:val="00E26B6A"/>
    <w:rsid w:val="00E464F0"/>
    <w:rsid w:val="00E51467"/>
    <w:rsid w:val="00E53977"/>
    <w:rsid w:val="00E62661"/>
    <w:rsid w:val="00E744E5"/>
    <w:rsid w:val="00E80A57"/>
    <w:rsid w:val="00EA5BFF"/>
    <w:rsid w:val="00EB17E0"/>
    <w:rsid w:val="00EC3AA1"/>
    <w:rsid w:val="00EC7C29"/>
    <w:rsid w:val="00EE4DB3"/>
    <w:rsid w:val="00EF0C96"/>
    <w:rsid w:val="00EF3E11"/>
    <w:rsid w:val="00F27228"/>
    <w:rsid w:val="00F30BE6"/>
    <w:rsid w:val="00F44863"/>
    <w:rsid w:val="00F516CA"/>
    <w:rsid w:val="00F51C1B"/>
    <w:rsid w:val="00F60939"/>
    <w:rsid w:val="00F63BB4"/>
    <w:rsid w:val="00F721B5"/>
    <w:rsid w:val="00F8511A"/>
    <w:rsid w:val="00F92A14"/>
    <w:rsid w:val="00F96AD4"/>
    <w:rsid w:val="00F97E1A"/>
    <w:rsid w:val="00FA7F79"/>
    <w:rsid w:val="00FB23C3"/>
    <w:rsid w:val="00FB5AF1"/>
    <w:rsid w:val="00FC10B2"/>
    <w:rsid w:val="00FC1132"/>
    <w:rsid w:val="00FD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4E7946"/>
  <w15:docId w15:val="{FE9D61B6-3B82-4DDC-83E2-3494A70A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CE6"/>
    <w:pPr>
      <w:spacing w:after="0" w:line="240" w:lineRule="auto"/>
      <w:jc w:val="both"/>
    </w:pPr>
    <w:rPr>
      <w:rFonts w:ascii="Book Antiqua" w:hAnsi="Book Antiqua"/>
    </w:rPr>
  </w:style>
  <w:style w:type="paragraph" w:styleId="Heading1">
    <w:name w:val="heading 1"/>
    <w:basedOn w:val="Normal"/>
    <w:next w:val="BodyText"/>
    <w:link w:val="Heading1Char"/>
    <w:qFormat/>
    <w:rsid w:val="006A695C"/>
    <w:pPr>
      <w:keepNext/>
      <w:spacing w:after="600"/>
      <w:jc w:val="center"/>
      <w:outlineLvl w:val="0"/>
    </w:pPr>
    <w:rPr>
      <w:b/>
      <w:kern w:val="28"/>
      <w:sz w:val="30"/>
    </w:rPr>
  </w:style>
  <w:style w:type="paragraph" w:styleId="Heading2">
    <w:name w:val="heading 2"/>
    <w:basedOn w:val="Normal"/>
    <w:next w:val="BodyText"/>
    <w:link w:val="Heading2Char"/>
    <w:qFormat/>
    <w:rsid w:val="006A695C"/>
    <w:pPr>
      <w:keepNext/>
      <w:spacing w:before="240" w:after="360"/>
      <w:jc w:val="left"/>
      <w:outlineLvl w:val="1"/>
    </w:pPr>
    <w:rPr>
      <w:b/>
      <w:sz w:val="26"/>
    </w:rPr>
  </w:style>
  <w:style w:type="paragraph" w:styleId="Heading3">
    <w:name w:val="heading 3"/>
    <w:basedOn w:val="Normal"/>
    <w:next w:val="BodyText"/>
    <w:link w:val="Heading3Char"/>
    <w:qFormat/>
    <w:rsid w:val="0088170B"/>
    <w:pPr>
      <w:keepNext/>
      <w:spacing w:before="120" w:after="240"/>
      <w:ind w:left="288"/>
      <w:jc w:val="lef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695C"/>
    <w:rPr>
      <w:rFonts w:ascii="Book Antiqua" w:hAnsi="Book Antiqua"/>
      <w:b/>
      <w:kern w:val="28"/>
      <w:sz w:val="30"/>
    </w:rPr>
  </w:style>
  <w:style w:type="paragraph" w:styleId="BodyText">
    <w:name w:val="Body Text"/>
    <w:basedOn w:val="Normal"/>
    <w:link w:val="BodyTextChar"/>
    <w:qFormat/>
    <w:rsid w:val="00B41ABF"/>
    <w:pPr>
      <w:spacing w:after="240"/>
    </w:pPr>
  </w:style>
  <w:style w:type="character" w:customStyle="1" w:styleId="BodyTextChar">
    <w:name w:val="Body Text Char"/>
    <w:basedOn w:val="DefaultParagraphFont"/>
    <w:link w:val="BodyText"/>
    <w:rsid w:val="00B41ABF"/>
  </w:style>
  <w:style w:type="paragraph" w:customStyle="1" w:styleId="Heading1to2">
    <w:name w:val="Heading 1 to 2"/>
    <w:basedOn w:val="Heading1"/>
    <w:next w:val="Heading2"/>
    <w:qFormat/>
    <w:rsid w:val="006A695C"/>
    <w:pPr>
      <w:spacing w:after="360"/>
    </w:pPr>
  </w:style>
  <w:style w:type="character" w:customStyle="1" w:styleId="Heading2Char">
    <w:name w:val="Heading 2 Char"/>
    <w:basedOn w:val="DefaultParagraphFont"/>
    <w:link w:val="Heading2"/>
    <w:rsid w:val="006A695C"/>
    <w:rPr>
      <w:rFonts w:ascii="Book Antiqua" w:hAnsi="Book Antiqua"/>
      <w:b/>
      <w:sz w:val="26"/>
    </w:rPr>
  </w:style>
  <w:style w:type="paragraph" w:customStyle="1" w:styleId="Heading2to3">
    <w:name w:val="Heading 2 to 3"/>
    <w:basedOn w:val="Heading2"/>
    <w:next w:val="Heading3"/>
    <w:qFormat/>
    <w:rsid w:val="006A695C"/>
    <w:pPr>
      <w:spacing w:after="240"/>
    </w:pPr>
  </w:style>
  <w:style w:type="character" w:customStyle="1" w:styleId="Heading3Char">
    <w:name w:val="Heading 3 Char"/>
    <w:basedOn w:val="DefaultParagraphFont"/>
    <w:link w:val="Heading3"/>
    <w:rsid w:val="0088170B"/>
    <w:rPr>
      <w:rFonts w:ascii="Book Antiqua" w:hAnsi="Book Antiqua"/>
      <w:b/>
      <w:i/>
      <w:sz w:val="24"/>
    </w:rPr>
  </w:style>
  <w:style w:type="paragraph" w:customStyle="1" w:styleId="ListBullet1">
    <w:name w:val="List Bullet 1"/>
    <w:basedOn w:val="Normal"/>
    <w:qFormat/>
    <w:rsid w:val="00B41ABF"/>
    <w:pPr>
      <w:numPr>
        <w:numId w:val="6"/>
      </w:numPr>
      <w:spacing w:after="120"/>
    </w:pPr>
  </w:style>
  <w:style w:type="paragraph" w:styleId="ListBullet">
    <w:name w:val="List Bullet"/>
    <w:basedOn w:val="Normal"/>
    <w:qFormat/>
    <w:rsid w:val="006A695C"/>
    <w:pPr>
      <w:numPr>
        <w:numId w:val="5"/>
      </w:numPr>
      <w:spacing w:after="240"/>
    </w:pPr>
  </w:style>
  <w:style w:type="paragraph" w:customStyle="1" w:styleId="ListDash">
    <w:name w:val="List Dash"/>
    <w:basedOn w:val="Normal"/>
    <w:qFormat/>
    <w:rsid w:val="00EC7C29"/>
    <w:pPr>
      <w:numPr>
        <w:numId w:val="8"/>
      </w:numPr>
      <w:spacing w:after="120"/>
    </w:pPr>
  </w:style>
  <w:style w:type="table" w:styleId="TableGrid">
    <w:name w:val="Table Grid"/>
    <w:basedOn w:val="TableNormal"/>
    <w:rsid w:val="00B4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BodyText"/>
    <w:basedOn w:val="Normal"/>
    <w:qFormat/>
    <w:rsid w:val="004B502E"/>
    <w:pPr>
      <w:spacing w:after="240"/>
      <w:jc w:val="left"/>
    </w:pPr>
    <w:rPr>
      <w:sz w:val="20"/>
    </w:rPr>
  </w:style>
  <w:style w:type="paragraph" w:customStyle="1" w:styleId="TableNormal0">
    <w:name w:val="TableNormal"/>
    <w:basedOn w:val="Normal"/>
    <w:qFormat/>
    <w:rsid w:val="004B502E"/>
    <w:pPr>
      <w:jc w:val="left"/>
    </w:pPr>
    <w:rPr>
      <w:sz w:val="20"/>
    </w:rPr>
  </w:style>
  <w:style w:type="paragraph" w:styleId="Header">
    <w:name w:val="header"/>
    <w:basedOn w:val="Normal"/>
    <w:link w:val="HeaderChar"/>
    <w:uiPriority w:val="99"/>
    <w:unhideWhenUsed/>
    <w:rsid w:val="00D33D7E"/>
    <w:pPr>
      <w:tabs>
        <w:tab w:val="center" w:pos="4680"/>
        <w:tab w:val="right" w:pos="9360"/>
      </w:tabs>
    </w:pPr>
  </w:style>
  <w:style w:type="character" w:customStyle="1" w:styleId="HeaderChar">
    <w:name w:val="Header Char"/>
    <w:basedOn w:val="DefaultParagraphFont"/>
    <w:link w:val="Header"/>
    <w:uiPriority w:val="99"/>
    <w:rsid w:val="00D33D7E"/>
  </w:style>
  <w:style w:type="paragraph" w:styleId="Footer">
    <w:name w:val="footer"/>
    <w:basedOn w:val="Normal"/>
    <w:link w:val="FooterChar"/>
    <w:uiPriority w:val="99"/>
    <w:unhideWhenUsed/>
    <w:rsid w:val="00D33D7E"/>
    <w:pPr>
      <w:tabs>
        <w:tab w:val="center" w:pos="4680"/>
        <w:tab w:val="right" w:pos="9360"/>
      </w:tabs>
    </w:pPr>
  </w:style>
  <w:style w:type="character" w:customStyle="1" w:styleId="FooterChar">
    <w:name w:val="Footer Char"/>
    <w:basedOn w:val="DefaultParagraphFont"/>
    <w:link w:val="Footer"/>
    <w:uiPriority w:val="99"/>
    <w:rsid w:val="00D33D7E"/>
  </w:style>
  <w:style w:type="paragraph" w:styleId="ListParagraph">
    <w:name w:val="List Paragraph"/>
    <w:basedOn w:val="Normal"/>
    <w:uiPriority w:val="34"/>
    <w:qFormat/>
    <w:rsid w:val="00F60939"/>
    <w:pPr>
      <w:ind w:left="720"/>
      <w:contextualSpacing/>
    </w:pPr>
  </w:style>
  <w:style w:type="character" w:styleId="Hyperlink">
    <w:name w:val="Hyperlink"/>
    <w:basedOn w:val="DefaultParagraphFont"/>
    <w:uiPriority w:val="99"/>
    <w:unhideWhenUsed/>
    <w:rsid w:val="00F60939"/>
    <w:rPr>
      <w:color w:val="0000FF" w:themeColor="hyperlink"/>
      <w:u w:val="single"/>
    </w:rPr>
  </w:style>
  <w:style w:type="paragraph" w:styleId="BalloonText">
    <w:name w:val="Balloon Text"/>
    <w:basedOn w:val="Normal"/>
    <w:link w:val="BalloonTextChar"/>
    <w:uiPriority w:val="99"/>
    <w:semiHidden/>
    <w:unhideWhenUsed/>
    <w:rsid w:val="00C83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89D"/>
    <w:rPr>
      <w:rFonts w:ascii="Segoe UI" w:hAnsi="Segoe UI" w:cs="Segoe UI"/>
      <w:sz w:val="18"/>
      <w:szCs w:val="18"/>
    </w:rPr>
  </w:style>
  <w:style w:type="character" w:styleId="FollowedHyperlink">
    <w:name w:val="FollowedHyperlink"/>
    <w:basedOn w:val="DefaultParagraphFont"/>
    <w:uiPriority w:val="99"/>
    <w:semiHidden/>
    <w:unhideWhenUsed/>
    <w:rsid w:val="00263AB4"/>
    <w:rPr>
      <w:color w:val="800080" w:themeColor="followedHyperlink"/>
      <w:u w:val="single"/>
    </w:rPr>
  </w:style>
  <w:style w:type="table" w:customStyle="1" w:styleId="LightList-Accent11">
    <w:name w:val="Light List - Accent 11"/>
    <w:basedOn w:val="TableNormal"/>
    <w:next w:val="LightList-Accent1"/>
    <w:uiPriority w:val="61"/>
    <w:rsid w:val="004E01E0"/>
    <w:pPr>
      <w:spacing w:after="0" w:line="240" w:lineRule="auto"/>
    </w:pPr>
    <w:rPr>
      <w:rFonts w:asciiTheme="minorHAnsi" w:eastAsiaTheme="minorHAnsi" w:hAnsiTheme="minorHAnsi" w:cstheme="minorBidi"/>
      <w:sz w:val="20"/>
    </w:rPr>
    <w:tblPr>
      <w:tblStyleRowBandSize w:val="1"/>
      <w:tblStyleColBandSize w:val="1"/>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25408F"/>
      </w:tcPr>
    </w:tblStylePr>
    <w:tblStylePr w:type="lastRow">
      <w:pPr>
        <w:spacing w:before="0" w:after="0" w:line="240" w:lineRule="auto"/>
      </w:pPr>
      <w:rPr>
        <w:b/>
        <w:bCs/>
      </w:rPr>
      <w:tblPr/>
      <w:tcPr>
        <w:tcBorders>
          <w:top w:val="double" w:sz="6" w:space="0" w:color="0F2887" w:themeColor="accent1"/>
          <w:left w:val="single" w:sz="8" w:space="0" w:color="0F2887" w:themeColor="accent1"/>
          <w:bottom w:val="single" w:sz="8" w:space="0" w:color="0F2887" w:themeColor="accent1"/>
          <w:right w:val="single" w:sz="8" w:space="0" w:color="0F2887" w:themeColor="accent1"/>
        </w:tcBorders>
      </w:tcPr>
    </w:tblStylePr>
    <w:tblStylePr w:type="firstCol">
      <w:rPr>
        <w:b/>
        <w:bCs/>
      </w:rPr>
    </w:tblStylePr>
    <w:tblStylePr w:type="lastCol">
      <w:rPr>
        <w:b/>
        <w:bCs/>
      </w:rPr>
    </w:tblStylePr>
    <w:tblStylePr w:type="band1Vert">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tblStylePr w:type="band1Horz">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style>
  <w:style w:type="table" w:styleId="LightList-Accent1">
    <w:name w:val="Light List Accent 1"/>
    <w:basedOn w:val="TableNormal"/>
    <w:uiPriority w:val="61"/>
    <w:semiHidden/>
    <w:unhideWhenUsed/>
    <w:rsid w:val="004E01E0"/>
    <w:pPr>
      <w:spacing w:after="0" w:line="240" w:lineRule="auto"/>
    </w:pPr>
    <w:tblPr>
      <w:tblStyleRowBandSize w:val="1"/>
      <w:tblStyleColBandSize w:val="1"/>
      <w:tblBorders>
        <w:top w:val="single" w:sz="8" w:space="0" w:color="0F2887" w:themeColor="accent1"/>
        <w:left w:val="single" w:sz="8" w:space="0" w:color="0F2887" w:themeColor="accent1"/>
        <w:bottom w:val="single" w:sz="8" w:space="0" w:color="0F2887" w:themeColor="accent1"/>
        <w:right w:val="single" w:sz="8" w:space="0" w:color="0F2887" w:themeColor="accent1"/>
      </w:tblBorders>
    </w:tblPr>
    <w:tblStylePr w:type="firstRow">
      <w:pPr>
        <w:spacing w:before="0" w:after="0" w:line="240" w:lineRule="auto"/>
      </w:pPr>
      <w:rPr>
        <w:b/>
        <w:bCs/>
        <w:color w:val="FFFFFF" w:themeColor="background1"/>
      </w:rPr>
      <w:tblPr/>
      <w:tcPr>
        <w:shd w:val="clear" w:color="auto" w:fill="0F2887" w:themeFill="accent1"/>
      </w:tcPr>
    </w:tblStylePr>
    <w:tblStylePr w:type="lastRow">
      <w:pPr>
        <w:spacing w:before="0" w:after="0" w:line="240" w:lineRule="auto"/>
      </w:pPr>
      <w:rPr>
        <w:b/>
        <w:bCs/>
      </w:rPr>
      <w:tblPr/>
      <w:tcPr>
        <w:tcBorders>
          <w:top w:val="double" w:sz="6" w:space="0" w:color="0F2887" w:themeColor="accent1"/>
          <w:left w:val="single" w:sz="8" w:space="0" w:color="0F2887" w:themeColor="accent1"/>
          <w:bottom w:val="single" w:sz="8" w:space="0" w:color="0F2887" w:themeColor="accent1"/>
          <w:right w:val="single" w:sz="8" w:space="0" w:color="0F2887" w:themeColor="accent1"/>
        </w:tcBorders>
      </w:tcPr>
    </w:tblStylePr>
    <w:tblStylePr w:type="firstCol">
      <w:rPr>
        <w:b/>
        <w:bCs/>
      </w:rPr>
    </w:tblStylePr>
    <w:tblStylePr w:type="lastCol">
      <w:rPr>
        <w:b/>
        <w:bCs/>
      </w:rPr>
    </w:tblStylePr>
    <w:tblStylePr w:type="band1Vert">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tblStylePr w:type="band1Horz">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style>
  <w:style w:type="paragraph" w:styleId="NormalWeb">
    <w:name w:val="Normal (Web)"/>
    <w:basedOn w:val="Normal"/>
    <w:uiPriority w:val="99"/>
    <w:unhideWhenUsed/>
    <w:rsid w:val="004E01E0"/>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199458">
      <w:bodyDiv w:val="1"/>
      <w:marLeft w:val="0"/>
      <w:marRight w:val="0"/>
      <w:marTop w:val="0"/>
      <w:marBottom w:val="0"/>
      <w:divBdr>
        <w:top w:val="none" w:sz="0" w:space="0" w:color="auto"/>
        <w:left w:val="none" w:sz="0" w:space="0" w:color="auto"/>
        <w:bottom w:val="none" w:sz="0" w:space="0" w:color="auto"/>
        <w:right w:val="none" w:sz="0" w:space="0" w:color="auto"/>
      </w:divBdr>
      <w:divsChild>
        <w:div w:id="1483429426">
          <w:marLeft w:val="605"/>
          <w:marRight w:val="0"/>
          <w:marTop w:val="173"/>
          <w:marBottom w:val="0"/>
          <w:divBdr>
            <w:top w:val="none" w:sz="0" w:space="0" w:color="auto"/>
            <w:left w:val="none" w:sz="0" w:space="0" w:color="auto"/>
            <w:bottom w:val="none" w:sz="0" w:space="0" w:color="auto"/>
            <w:right w:val="none" w:sz="0" w:space="0" w:color="auto"/>
          </w:divBdr>
        </w:div>
        <w:div w:id="160514042">
          <w:marLeft w:val="605"/>
          <w:marRight w:val="0"/>
          <w:marTop w:val="173"/>
          <w:marBottom w:val="0"/>
          <w:divBdr>
            <w:top w:val="none" w:sz="0" w:space="0" w:color="auto"/>
            <w:left w:val="none" w:sz="0" w:space="0" w:color="auto"/>
            <w:bottom w:val="none" w:sz="0" w:space="0" w:color="auto"/>
            <w:right w:val="none" w:sz="0" w:space="0" w:color="auto"/>
          </w:divBdr>
        </w:div>
        <w:div w:id="1235820240">
          <w:marLeft w:val="605"/>
          <w:marRight w:val="0"/>
          <w:marTop w:val="173"/>
          <w:marBottom w:val="0"/>
          <w:divBdr>
            <w:top w:val="none" w:sz="0" w:space="0" w:color="auto"/>
            <w:left w:val="none" w:sz="0" w:space="0" w:color="auto"/>
            <w:bottom w:val="none" w:sz="0" w:space="0" w:color="auto"/>
            <w:right w:val="none" w:sz="0" w:space="0" w:color="auto"/>
          </w:divBdr>
        </w:div>
        <w:div w:id="1412772086">
          <w:marLeft w:val="605"/>
          <w:marRight w:val="0"/>
          <w:marTop w:val="173"/>
          <w:marBottom w:val="0"/>
          <w:divBdr>
            <w:top w:val="none" w:sz="0" w:space="0" w:color="auto"/>
            <w:left w:val="none" w:sz="0" w:space="0" w:color="auto"/>
            <w:bottom w:val="none" w:sz="0" w:space="0" w:color="auto"/>
            <w:right w:val="none" w:sz="0" w:space="0" w:color="auto"/>
          </w:divBdr>
        </w:div>
        <w:div w:id="1110735862">
          <w:marLeft w:val="605"/>
          <w:marRight w:val="0"/>
          <w:marTop w:val="173"/>
          <w:marBottom w:val="0"/>
          <w:divBdr>
            <w:top w:val="none" w:sz="0" w:space="0" w:color="auto"/>
            <w:left w:val="none" w:sz="0" w:space="0" w:color="auto"/>
            <w:bottom w:val="none" w:sz="0" w:space="0" w:color="auto"/>
            <w:right w:val="none" w:sz="0" w:space="0" w:color="auto"/>
          </w:divBdr>
        </w:div>
      </w:divsChild>
    </w:div>
    <w:div w:id="1269583970">
      <w:bodyDiv w:val="1"/>
      <w:marLeft w:val="0"/>
      <w:marRight w:val="0"/>
      <w:marTop w:val="0"/>
      <w:marBottom w:val="0"/>
      <w:divBdr>
        <w:top w:val="none" w:sz="0" w:space="0" w:color="auto"/>
        <w:left w:val="none" w:sz="0" w:space="0" w:color="auto"/>
        <w:bottom w:val="none" w:sz="0" w:space="0" w:color="auto"/>
        <w:right w:val="none" w:sz="0" w:space="0" w:color="auto"/>
      </w:divBdr>
    </w:div>
    <w:div w:id="1354572326">
      <w:bodyDiv w:val="1"/>
      <w:marLeft w:val="0"/>
      <w:marRight w:val="0"/>
      <w:marTop w:val="0"/>
      <w:marBottom w:val="0"/>
      <w:divBdr>
        <w:top w:val="none" w:sz="0" w:space="0" w:color="auto"/>
        <w:left w:val="none" w:sz="0" w:space="0" w:color="auto"/>
        <w:bottom w:val="none" w:sz="0" w:space="0" w:color="auto"/>
        <w:right w:val="none" w:sz="0" w:space="0" w:color="auto"/>
      </w:divBdr>
    </w:div>
    <w:div w:id="1508791317">
      <w:bodyDiv w:val="1"/>
      <w:marLeft w:val="0"/>
      <w:marRight w:val="0"/>
      <w:marTop w:val="0"/>
      <w:marBottom w:val="0"/>
      <w:divBdr>
        <w:top w:val="none" w:sz="0" w:space="0" w:color="auto"/>
        <w:left w:val="none" w:sz="0" w:space="0" w:color="auto"/>
        <w:bottom w:val="none" w:sz="0" w:space="0" w:color="auto"/>
        <w:right w:val="none" w:sz="0" w:space="0" w:color="auto"/>
      </w:divBdr>
      <w:divsChild>
        <w:div w:id="947006739">
          <w:marLeft w:val="274"/>
          <w:marRight w:val="0"/>
          <w:marTop w:val="0"/>
          <w:marBottom w:val="0"/>
          <w:divBdr>
            <w:top w:val="none" w:sz="0" w:space="0" w:color="auto"/>
            <w:left w:val="none" w:sz="0" w:space="0" w:color="auto"/>
            <w:bottom w:val="none" w:sz="0" w:space="0" w:color="auto"/>
            <w:right w:val="none" w:sz="0" w:space="0" w:color="auto"/>
          </w:divBdr>
        </w:div>
      </w:divsChild>
    </w:div>
    <w:div w:id="1698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s_report_colors">
      <a:dk1>
        <a:sysClr val="windowText" lastClr="000000"/>
      </a:dk1>
      <a:lt1>
        <a:sysClr val="window" lastClr="FFFFFF"/>
      </a:lt1>
      <a:dk2>
        <a:srgbClr val="1F497D"/>
      </a:dk2>
      <a:lt2>
        <a:srgbClr val="EEECE1"/>
      </a:lt2>
      <a:accent1>
        <a:srgbClr val="0F2887"/>
      </a:accent1>
      <a:accent2>
        <a:srgbClr val="B9D5C9"/>
      </a:accent2>
      <a:accent3>
        <a:srgbClr val="C19722"/>
      </a:accent3>
      <a:accent4>
        <a:srgbClr val="D5DAE9"/>
      </a:accent4>
      <a:accent5>
        <a:srgbClr val="206B5C"/>
      </a:accent5>
      <a:accent6>
        <a:srgbClr val="C2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8599-E62E-4D85-848B-3B30EA94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Cambridge Systematics, Inc.</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Herbel</dc:creator>
  <cp:lastModifiedBy>Schrank, Stacey</cp:lastModifiedBy>
  <cp:revision>3</cp:revision>
  <cp:lastPrinted>2017-02-15T15:47:00Z</cp:lastPrinted>
  <dcterms:created xsi:type="dcterms:W3CDTF">2018-02-07T14:59:00Z</dcterms:created>
  <dcterms:modified xsi:type="dcterms:W3CDTF">2018-02-07T15:01:00Z</dcterms:modified>
</cp:coreProperties>
</file>